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57EF5F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1F291C">
        <w:rPr>
          <w:b/>
          <w:bCs/>
          <w:sz w:val="28"/>
          <w:szCs w:val="28"/>
        </w:rPr>
        <w:t>7</w:t>
      </w:r>
      <w:r w:rsidR="00976854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715D90A" w:rsidR="003A564C" w:rsidRDefault="00EE176F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81045742"/>
      <w:bookmarkStart w:id="1" w:name="_Hlk80981233"/>
      <w:bookmarkStart w:id="2" w:name="_Hlk76725034"/>
      <w:bookmarkStart w:id="3" w:name="_Hlk77851818"/>
      <w:bookmarkStart w:id="4" w:name="_Hlk80696265"/>
      <w:bookmarkStart w:id="5" w:name="_Hlk80705296"/>
      <w:r w:rsidRPr="00EE176F">
        <w:rPr>
          <w:b/>
          <w:bCs/>
          <w:color w:val="000000"/>
          <w:sz w:val="28"/>
          <w:szCs w:val="28"/>
        </w:rPr>
        <w:t xml:space="preserve">LA SUCESIÓN </w:t>
      </w:r>
      <w:r w:rsidRPr="00EE176F">
        <w:rPr>
          <w:b/>
          <w:bCs/>
          <w:i/>
          <w:iCs/>
          <w:color w:val="000000"/>
          <w:sz w:val="28"/>
          <w:szCs w:val="28"/>
        </w:rPr>
        <w:t>MORTIS CAUSA</w:t>
      </w:r>
      <w:bookmarkEnd w:id="0"/>
      <w:r w:rsidRPr="00EE176F">
        <w:rPr>
          <w:b/>
          <w:bCs/>
          <w:color w:val="000000"/>
          <w:sz w:val="28"/>
          <w:szCs w:val="28"/>
        </w:rPr>
        <w:t xml:space="preserve">. FUNDAMENTO, EVOLUCIÓN HISTÓRICA Y CLASES. </w:t>
      </w:r>
      <w:bookmarkStart w:id="6" w:name="_Hlk176247037"/>
      <w:r w:rsidR="00CC17B0" w:rsidRPr="00CC17B0">
        <w:rPr>
          <w:b/>
          <w:bCs/>
          <w:color w:val="000000"/>
          <w:sz w:val="28"/>
          <w:szCs w:val="28"/>
        </w:rPr>
        <w:t xml:space="preserve">BREVE REFERENCIA A LA NORMATIVA DE LA UNIÓN EUROPEA SOBRE LEY APLICABLE EN MATERIA DE SUCESIONES </w:t>
      </w:r>
      <w:r w:rsidR="00CC17B0" w:rsidRPr="00CC17B0">
        <w:rPr>
          <w:b/>
          <w:bCs/>
          <w:i/>
          <w:iCs/>
          <w:color w:val="000000"/>
          <w:sz w:val="28"/>
          <w:szCs w:val="28"/>
        </w:rPr>
        <w:t>MORTIS CAUSA</w:t>
      </w:r>
      <w:r w:rsidR="00CC17B0" w:rsidRPr="00CC17B0">
        <w:rPr>
          <w:b/>
          <w:bCs/>
          <w:color w:val="000000"/>
          <w:sz w:val="28"/>
          <w:szCs w:val="28"/>
        </w:rPr>
        <w:t xml:space="preserve"> Y CERTIFICADO SUCESORIO EUROPEO</w:t>
      </w:r>
      <w:bookmarkEnd w:id="6"/>
      <w:r w:rsidR="00CC17B0">
        <w:rPr>
          <w:b/>
          <w:bCs/>
          <w:color w:val="000000"/>
          <w:sz w:val="28"/>
          <w:szCs w:val="28"/>
        </w:rPr>
        <w:t xml:space="preserve">. </w:t>
      </w:r>
      <w:r w:rsidRPr="00EE176F">
        <w:rPr>
          <w:b/>
          <w:bCs/>
          <w:color w:val="000000"/>
          <w:sz w:val="28"/>
          <w:szCs w:val="28"/>
        </w:rPr>
        <w:t xml:space="preserve">LA HERENCIA Y EL DERECHO HEREDITARIO. CARÁCTER DIFERENCIAL ENTRE EL HEREDERO Y EL LEGATARIO. </w:t>
      </w:r>
      <w:bookmarkStart w:id="7" w:name="_Hlk81120849"/>
      <w:r w:rsidRPr="00EE176F">
        <w:rPr>
          <w:b/>
          <w:bCs/>
          <w:color w:val="000000"/>
          <w:sz w:val="28"/>
          <w:szCs w:val="28"/>
        </w:rPr>
        <w:t>SITUACIONES EN QUE PUEDE ENCONTRARSE LA HERENCIA.</w:t>
      </w:r>
      <w:bookmarkEnd w:id="1"/>
      <w:bookmarkEnd w:id="2"/>
      <w:bookmarkEnd w:id="3"/>
      <w:bookmarkEnd w:id="4"/>
      <w:bookmarkEnd w:id="5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707F341C" w14:textId="207FFDDA" w:rsidR="005229F8" w:rsidRPr="007F05A2" w:rsidRDefault="007F05A2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7F05A2">
        <w:rPr>
          <w:rFonts w:eastAsiaTheme="minorHAnsi"/>
          <w:b/>
          <w:bCs/>
          <w:color w:val="000000"/>
          <w:lang w:eastAsia="en-US"/>
        </w:rPr>
        <w:t xml:space="preserve">LA SUCESIÓN </w:t>
      </w:r>
      <w:r w:rsidRPr="007F05A2">
        <w:rPr>
          <w:rFonts w:eastAsiaTheme="minorHAnsi"/>
          <w:b/>
          <w:bCs/>
          <w:i/>
          <w:iCs/>
          <w:color w:val="000000"/>
          <w:lang w:eastAsia="en-US"/>
        </w:rPr>
        <w:t>MORTIS CAUSA</w:t>
      </w:r>
      <w:r>
        <w:rPr>
          <w:rFonts w:eastAsiaTheme="minorHAnsi"/>
          <w:b/>
          <w:bCs/>
          <w:color w:val="000000"/>
          <w:lang w:eastAsia="en-US"/>
        </w:rPr>
        <w:t>.</w:t>
      </w:r>
    </w:p>
    <w:p w14:paraId="6906912C" w14:textId="61FE6EC6" w:rsidR="00912E12" w:rsidRDefault="0004565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Doctrinalmente se suele definir a la sucesión </w:t>
      </w:r>
      <w:r w:rsidRPr="006B6577">
        <w:rPr>
          <w:i/>
          <w:iCs/>
          <w:spacing w:val="-3"/>
        </w:rPr>
        <w:t>mortis causa</w:t>
      </w:r>
      <w:r>
        <w:rPr>
          <w:spacing w:val="-3"/>
        </w:rPr>
        <w:t xml:space="preserve"> como </w:t>
      </w:r>
      <w:r w:rsidR="006B6577" w:rsidRPr="006B6577">
        <w:rPr>
          <w:spacing w:val="-3"/>
        </w:rPr>
        <w:t>la subrogación que, a consecuencia de la muerte de una persona, se produce en otra de los derechos y acciones transmisibles de que aquélla era titula</w:t>
      </w:r>
      <w:r w:rsidR="006B6577">
        <w:rPr>
          <w:spacing w:val="-3"/>
        </w:rPr>
        <w:t>r.</w:t>
      </w:r>
    </w:p>
    <w:p w14:paraId="78EC7ACB" w14:textId="0D70C443" w:rsidR="006B6577" w:rsidRDefault="006B657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Código Civil de 24 de julio de 1889 no contiene un concepto legal de la sucesión por causa de muerte, </w:t>
      </w:r>
      <w:r w:rsidR="00C8409D">
        <w:rPr>
          <w:spacing w:val="-3"/>
        </w:rPr>
        <w:t xml:space="preserve">como tampoco </w:t>
      </w:r>
      <w:r w:rsidR="00F86F03">
        <w:rPr>
          <w:spacing w:val="-3"/>
        </w:rPr>
        <w:t>la normativa civil autonómica con la excepción</w:t>
      </w:r>
      <w:r w:rsidR="00391409">
        <w:rPr>
          <w:spacing w:val="-3"/>
        </w:rPr>
        <w:t xml:space="preserve"> </w:t>
      </w:r>
      <w:r w:rsidR="00F86F03">
        <w:rPr>
          <w:spacing w:val="-3"/>
        </w:rPr>
        <w:t>d</w:t>
      </w:r>
      <w:r w:rsidR="00391409">
        <w:rPr>
          <w:spacing w:val="-3"/>
        </w:rPr>
        <w:t>el Código de</w:t>
      </w:r>
      <w:r w:rsidR="00C335FB">
        <w:rPr>
          <w:spacing w:val="-3"/>
        </w:rPr>
        <w:t>l</w:t>
      </w:r>
      <w:r w:rsidR="00391409">
        <w:rPr>
          <w:spacing w:val="-3"/>
        </w:rPr>
        <w:t xml:space="preserve"> Derecho Foral de Aragón </w:t>
      </w:r>
      <w:r w:rsidR="00C335FB">
        <w:rPr>
          <w:spacing w:val="-3"/>
        </w:rPr>
        <w:t>de 22 de marzo de 2011, cuyo artículo 316 la define como “</w:t>
      </w:r>
      <w:r w:rsidR="009843A3" w:rsidRPr="009843A3">
        <w:rPr>
          <w:spacing w:val="-3"/>
        </w:rPr>
        <w:t>la ordenación del destino de las relaciones jurídicas de una persona fallecida que no se extingan por su muerte y no estén sujetas a reglas distintas</w:t>
      </w:r>
      <w:r w:rsidR="009843A3">
        <w:rPr>
          <w:spacing w:val="-3"/>
        </w:rPr>
        <w:t>”.</w:t>
      </w:r>
    </w:p>
    <w:p w14:paraId="0A554EAB" w14:textId="23A5187D" w:rsidR="007F05A2" w:rsidRDefault="00222697" w:rsidP="00257951">
      <w:pPr>
        <w:spacing w:before="120" w:after="120" w:line="360" w:lineRule="auto"/>
        <w:ind w:firstLine="708"/>
        <w:jc w:val="both"/>
        <w:rPr>
          <w:spacing w:val="-3"/>
        </w:rPr>
      </w:pPr>
      <w:r w:rsidRPr="00222697">
        <w:rPr>
          <w:spacing w:val="-3"/>
        </w:rPr>
        <w:t xml:space="preserve">La sucesión </w:t>
      </w:r>
      <w:r w:rsidRPr="00A147CE">
        <w:rPr>
          <w:i/>
          <w:iCs/>
          <w:spacing w:val="-3"/>
        </w:rPr>
        <w:t>mortis causa</w:t>
      </w:r>
      <w:r w:rsidRPr="00222697">
        <w:rPr>
          <w:spacing w:val="-3"/>
        </w:rPr>
        <w:t xml:space="preserve"> es una institución que sólo afecta a las personas físicas, pues sólo éstas sufren el inevitable suceso de la muerte.</w:t>
      </w:r>
      <w:r w:rsidR="00A147CE">
        <w:rPr>
          <w:spacing w:val="-3"/>
        </w:rPr>
        <w:t xml:space="preserve"> Es, además, </w:t>
      </w:r>
      <w:r w:rsidR="00992286">
        <w:rPr>
          <w:spacing w:val="-3"/>
        </w:rPr>
        <w:t>el</w:t>
      </w:r>
      <w:r w:rsidR="00A147CE">
        <w:rPr>
          <w:spacing w:val="-3"/>
        </w:rPr>
        <w:t xml:space="preserve"> único modo en que se puede producir la sucesión universal de una persona física, pues el artículo </w:t>
      </w:r>
      <w:r w:rsidR="00257951">
        <w:rPr>
          <w:spacing w:val="-3"/>
        </w:rPr>
        <w:t xml:space="preserve">634 del Código Civil prohíbe la sucesión universal </w:t>
      </w:r>
      <w:r w:rsidR="00257951" w:rsidRPr="00D63ED8">
        <w:rPr>
          <w:i/>
          <w:iCs/>
          <w:spacing w:val="-3"/>
        </w:rPr>
        <w:t>inter vivos</w:t>
      </w:r>
      <w:r w:rsidR="00257951">
        <w:rPr>
          <w:spacing w:val="-3"/>
        </w:rPr>
        <w:t xml:space="preserve"> al establecer que “</w:t>
      </w:r>
      <w:r w:rsidR="00257951" w:rsidRPr="00257951">
        <w:rPr>
          <w:spacing w:val="-3"/>
        </w:rPr>
        <w:t>la donación podrá comprender todos</w:t>
      </w:r>
      <w:r w:rsidR="00257951">
        <w:rPr>
          <w:spacing w:val="-3"/>
        </w:rPr>
        <w:t xml:space="preserve"> </w:t>
      </w:r>
      <w:r w:rsidR="00257951" w:rsidRPr="00257951">
        <w:rPr>
          <w:spacing w:val="-3"/>
        </w:rPr>
        <w:t>los bienes presentes del donante, o parte de ellos, con tal que éste se reserve, en</w:t>
      </w:r>
      <w:r w:rsidR="00257951">
        <w:rPr>
          <w:spacing w:val="-3"/>
        </w:rPr>
        <w:t xml:space="preserve"> </w:t>
      </w:r>
      <w:r w:rsidR="00257951" w:rsidRPr="00257951">
        <w:rPr>
          <w:spacing w:val="-3"/>
        </w:rPr>
        <w:t>plena propiedad o en usufructo, lo necesario para vivir en un estado correspondiente a sus circunstancias</w:t>
      </w:r>
      <w:r w:rsidR="00257951">
        <w:rPr>
          <w:spacing w:val="-3"/>
        </w:rPr>
        <w:t>”.</w:t>
      </w:r>
    </w:p>
    <w:p w14:paraId="306AF36E" w14:textId="5EAA21F2" w:rsidR="00257951" w:rsidRDefault="001A0F53" w:rsidP="001A0F53">
      <w:pPr>
        <w:spacing w:before="120" w:after="120" w:line="360" w:lineRule="auto"/>
        <w:ind w:firstLine="708"/>
        <w:jc w:val="both"/>
        <w:rPr>
          <w:spacing w:val="-3"/>
        </w:rPr>
      </w:pPr>
      <w:r w:rsidRPr="001A0F53">
        <w:rPr>
          <w:spacing w:val="-3"/>
        </w:rPr>
        <w:lastRenderedPageBreak/>
        <w:t xml:space="preserve">En cambio, </w:t>
      </w:r>
      <w:r w:rsidRPr="001A0F53">
        <w:rPr>
          <w:i/>
          <w:iCs/>
          <w:spacing w:val="-3"/>
        </w:rPr>
        <w:t>mortis causa</w:t>
      </w:r>
      <w:r w:rsidRPr="001A0F53">
        <w:rPr>
          <w:spacing w:val="-3"/>
        </w:rPr>
        <w:t xml:space="preserve"> cabe tanto la sucesión a título particular </w:t>
      </w:r>
      <w:r>
        <w:rPr>
          <w:spacing w:val="-3"/>
        </w:rPr>
        <w:t xml:space="preserve">a través del </w:t>
      </w:r>
      <w:r w:rsidRPr="001A0F53">
        <w:rPr>
          <w:spacing w:val="-3"/>
        </w:rPr>
        <w:t xml:space="preserve">legado como la sucesión a título universal y </w:t>
      </w:r>
      <w:r w:rsidRPr="001A0F53">
        <w:rPr>
          <w:i/>
          <w:iCs/>
          <w:spacing w:val="-3"/>
        </w:rPr>
        <w:t xml:space="preserve">uno </w:t>
      </w:r>
      <w:proofErr w:type="spellStart"/>
      <w:r w:rsidRPr="001A0F53">
        <w:rPr>
          <w:i/>
          <w:iCs/>
          <w:spacing w:val="-3"/>
        </w:rPr>
        <w:t>ictu</w:t>
      </w:r>
      <w:proofErr w:type="spellEnd"/>
      <w:r w:rsidRPr="001A0F53">
        <w:rPr>
          <w:spacing w:val="-3"/>
        </w:rPr>
        <w:t xml:space="preserve"> </w:t>
      </w:r>
      <w:r>
        <w:rPr>
          <w:spacing w:val="-3"/>
        </w:rPr>
        <w:t xml:space="preserve">mediante la </w:t>
      </w:r>
      <w:r w:rsidRPr="001A0F53">
        <w:rPr>
          <w:spacing w:val="-3"/>
        </w:rPr>
        <w:t>herencia</w:t>
      </w:r>
      <w:r>
        <w:rPr>
          <w:spacing w:val="-3"/>
        </w:rPr>
        <w:t>.</w:t>
      </w:r>
    </w:p>
    <w:p w14:paraId="5285E0CA" w14:textId="77777777" w:rsidR="001A0F53" w:rsidRDefault="001A0F53" w:rsidP="001A0F53">
      <w:pPr>
        <w:spacing w:before="120" w:after="120" w:line="360" w:lineRule="auto"/>
        <w:ind w:firstLine="708"/>
        <w:jc w:val="both"/>
        <w:rPr>
          <w:spacing w:val="-3"/>
        </w:rPr>
      </w:pPr>
    </w:p>
    <w:p w14:paraId="712BCD2D" w14:textId="644FB8E3" w:rsidR="007F05A2" w:rsidRDefault="00F86F03" w:rsidP="00F86F03">
      <w:pPr>
        <w:spacing w:before="120" w:after="120" w:line="360" w:lineRule="auto"/>
        <w:jc w:val="both"/>
        <w:rPr>
          <w:spacing w:val="-3"/>
        </w:rPr>
      </w:pPr>
      <w:r w:rsidRPr="00F86F03">
        <w:rPr>
          <w:b/>
          <w:bCs/>
          <w:spacing w:val="-3"/>
        </w:rPr>
        <w:t>FUNDAMENTO, EVOLUCIÓN HISTÓRICA Y CLASES.</w:t>
      </w:r>
    </w:p>
    <w:p w14:paraId="2FD899CD" w14:textId="541CEA6A" w:rsidR="00E30722" w:rsidRPr="00E30722" w:rsidRDefault="00E30722" w:rsidP="00A2056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30722">
        <w:rPr>
          <w:b/>
          <w:spacing w:val="-3"/>
        </w:rPr>
        <w:t>Fundamento.</w:t>
      </w:r>
    </w:p>
    <w:p w14:paraId="00CC759A" w14:textId="5FF407B5" w:rsidR="007F05A2" w:rsidRDefault="00B11C16" w:rsidP="00A205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entorno jurídico-político de las democracias liberales</w:t>
      </w:r>
      <w:r w:rsidR="00A2056F" w:rsidRPr="00A2056F">
        <w:rPr>
          <w:spacing w:val="-3"/>
        </w:rPr>
        <w:t>, todos los ordenamientos jurídicos reconocen y</w:t>
      </w:r>
      <w:r w:rsidR="00A2056F">
        <w:rPr>
          <w:spacing w:val="-3"/>
        </w:rPr>
        <w:t xml:space="preserve"> </w:t>
      </w:r>
      <w:r w:rsidR="00A2056F" w:rsidRPr="00A2056F">
        <w:rPr>
          <w:spacing w:val="-3"/>
        </w:rPr>
        <w:t xml:space="preserve">regulan el derecho a la sucesión </w:t>
      </w:r>
      <w:r w:rsidR="00A2056F" w:rsidRPr="00A2056F">
        <w:rPr>
          <w:i/>
          <w:iCs/>
          <w:spacing w:val="-3"/>
        </w:rPr>
        <w:t>mortis causa</w:t>
      </w:r>
      <w:r w:rsidR="00023FC3">
        <w:rPr>
          <w:spacing w:val="-3"/>
        </w:rPr>
        <w:t>.</w:t>
      </w:r>
    </w:p>
    <w:p w14:paraId="245E4B1C" w14:textId="3FE5276B" w:rsidR="007F05A2" w:rsidRDefault="00023FC3" w:rsidP="008978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embargo, </w:t>
      </w:r>
      <w:r w:rsidR="008978E6" w:rsidRPr="008978E6">
        <w:rPr>
          <w:spacing w:val="-3"/>
        </w:rPr>
        <w:t xml:space="preserve">no toda línea de pensamiento occidental </w:t>
      </w:r>
      <w:r>
        <w:rPr>
          <w:spacing w:val="-3"/>
        </w:rPr>
        <w:t xml:space="preserve">ha admitido </w:t>
      </w:r>
      <w:r w:rsidR="008978E6" w:rsidRPr="008978E6">
        <w:rPr>
          <w:spacing w:val="-3"/>
        </w:rPr>
        <w:t xml:space="preserve">históricamente la sucesión </w:t>
      </w:r>
      <w:r w:rsidR="008978E6" w:rsidRPr="00023FC3">
        <w:rPr>
          <w:i/>
          <w:iCs/>
          <w:spacing w:val="-3"/>
        </w:rPr>
        <w:t>mortis causa</w:t>
      </w:r>
      <w:r w:rsidR="00570BCA">
        <w:rPr>
          <w:spacing w:val="-3"/>
        </w:rPr>
        <w:t>, ya que d</w:t>
      </w:r>
      <w:r w:rsidR="008978E6" w:rsidRPr="008978E6">
        <w:rPr>
          <w:spacing w:val="-3"/>
        </w:rPr>
        <w:t>esde algunos ámbitos del pensamiento filosófico</w:t>
      </w:r>
      <w:r>
        <w:rPr>
          <w:spacing w:val="-3"/>
        </w:rPr>
        <w:t xml:space="preserve"> y político</w:t>
      </w:r>
      <w:r w:rsidR="00570BCA">
        <w:rPr>
          <w:spacing w:val="-3"/>
        </w:rPr>
        <w:t xml:space="preserve"> se la ha considerado</w:t>
      </w:r>
      <w:r w:rsidR="008978E6" w:rsidRPr="008978E6">
        <w:rPr>
          <w:spacing w:val="-3"/>
        </w:rPr>
        <w:t xml:space="preserve"> un instrumento de desigualdad y discriminación y</w:t>
      </w:r>
      <w:r w:rsidR="00570BCA">
        <w:rPr>
          <w:spacing w:val="-3"/>
        </w:rPr>
        <w:t xml:space="preserve"> </w:t>
      </w:r>
      <w:r w:rsidR="008978E6" w:rsidRPr="008978E6">
        <w:rPr>
          <w:spacing w:val="-3"/>
        </w:rPr>
        <w:t xml:space="preserve">una fuente de privilegios sin fundamento alguno, </w:t>
      </w:r>
      <w:r w:rsidR="00570BCA">
        <w:rPr>
          <w:spacing w:val="-3"/>
        </w:rPr>
        <w:t>basada en</w:t>
      </w:r>
      <w:r w:rsidR="008978E6" w:rsidRPr="008978E6">
        <w:rPr>
          <w:spacing w:val="-3"/>
        </w:rPr>
        <w:t xml:space="preserve"> el mero hecho del nacimiento en el seno de determinada familia</w:t>
      </w:r>
      <w:r w:rsidR="00570BCA">
        <w:rPr>
          <w:spacing w:val="-3"/>
        </w:rPr>
        <w:t>.</w:t>
      </w:r>
    </w:p>
    <w:p w14:paraId="518804B6" w14:textId="1DC4742C" w:rsidR="00442C4B" w:rsidRPr="00442C4B" w:rsidRDefault="00442C4B" w:rsidP="006D23B9">
      <w:pPr>
        <w:spacing w:before="120" w:after="120" w:line="360" w:lineRule="auto"/>
        <w:ind w:firstLine="708"/>
        <w:jc w:val="both"/>
        <w:rPr>
          <w:spacing w:val="-3"/>
        </w:rPr>
      </w:pPr>
      <w:r w:rsidRPr="00442C4B">
        <w:rPr>
          <w:spacing w:val="-3"/>
        </w:rPr>
        <w:t xml:space="preserve">En nuestro ordenamiento jurídico, la sucesión </w:t>
      </w:r>
      <w:r w:rsidRPr="00442C4B">
        <w:rPr>
          <w:i/>
          <w:iCs/>
          <w:spacing w:val="-3"/>
        </w:rPr>
        <w:t>mortis causa</w:t>
      </w:r>
      <w:r w:rsidRPr="00442C4B">
        <w:rPr>
          <w:spacing w:val="-3"/>
        </w:rPr>
        <w:t xml:space="preserve"> es una institución</w:t>
      </w:r>
      <w:r>
        <w:rPr>
          <w:spacing w:val="-3"/>
        </w:rPr>
        <w:t xml:space="preserve"> </w:t>
      </w:r>
      <w:r w:rsidRPr="00442C4B">
        <w:rPr>
          <w:spacing w:val="-3"/>
        </w:rPr>
        <w:t xml:space="preserve">que, desde la perspectiva del causante, </w:t>
      </w:r>
      <w:r w:rsidR="00717BDF">
        <w:rPr>
          <w:spacing w:val="-3"/>
        </w:rPr>
        <w:t>está</w:t>
      </w:r>
      <w:r w:rsidRPr="00442C4B">
        <w:rPr>
          <w:spacing w:val="-3"/>
        </w:rPr>
        <w:t xml:space="preserve"> adosada a la propiedad privada y,</w:t>
      </w:r>
      <w:r w:rsidR="00717BDF">
        <w:rPr>
          <w:spacing w:val="-3"/>
        </w:rPr>
        <w:t xml:space="preserve"> </w:t>
      </w:r>
      <w:r w:rsidRPr="00442C4B">
        <w:rPr>
          <w:spacing w:val="-3"/>
        </w:rPr>
        <w:t>desde la perspectiva del sucesor, a la familia.</w:t>
      </w:r>
    </w:p>
    <w:p w14:paraId="13557E7B" w14:textId="1A763FF7" w:rsidR="007F05A2" w:rsidRDefault="00442C4B" w:rsidP="00442C4B">
      <w:pPr>
        <w:spacing w:before="120" w:after="120" w:line="360" w:lineRule="auto"/>
        <w:ind w:firstLine="708"/>
        <w:jc w:val="both"/>
        <w:rPr>
          <w:spacing w:val="-3"/>
        </w:rPr>
      </w:pPr>
      <w:r w:rsidRPr="00442C4B">
        <w:rPr>
          <w:spacing w:val="-3"/>
        </w:rPr>
        <w:t xml:space="preserve">Además, la sucesión </w:t>
      </w:r>
      <w:r w:rsidRPr="006D23B9">
        <w:rPr>
          <w:i/>
          <w:iCs/>
          <w:spacing w:val="-3"/>
        </w:rPr>
        <w:t>mortis causa</w:t>
      </w:r>
      <w:r w:rsidRPr="00442C4B">
        <w:rPr>
          <w:spacing w:val="-3"/>
        </w:rPr>
        <w:t xml:space="preserve"> se fundamenta también en la idea de seguridad jurídica</w:t>
      </w:r>
      <w:r w:rsidR="00EF042C">
        <w:rPr>
          <w:spacing w:val="-3"/>
        </w:rPr>
        <w:t>, esto es,</w:t>
      </w:r>
      <w:r w:rsidRPr="00442C4B">
        <w:rPr>
          <w:spacing w:val="-3"/>
        </w:rPr>
        <w:t xml:space="preserve"> en la necesidad de que</w:t>
      </w:r>
      <w:r w:rsidR="00EF042C">
        <w:rPr>
          <w:spacing w:val="-3"/>
        </w:rPr>
        <w:t xml:space="preserve"> </w:t>
      </w:r>
      <w:r w:rsidRPr="00442C4B">
        <w:rPr>
          <w:spacing w:val="-3"/>
        </w:rPr>
        <w:t>la muerte del titular no extinga sus relaciones jurídicas activas y pasivas</w:t>
      </w:r>
      <w:r w:rsidR="00EF042C">
        <w:rPr>
          <w:spacing w:val="-3"/>
        </w:rPr>
        <w:t>, y por ello</w:t>
      </w:r>
      <w:r w:rsidRPr="00442C4B">
        <w:rPr>
          <w:spacing w:val="-3"/>
        </w:rPr>
        <w:t xml:space="preserve"> que los</w:t>
      </w:r>
      <w:r w:rsidR="00EF042C">
        <w:rPr>
          <w:spacing w:val="-3"/>
        </w:rPr>
        <w:t xml:space="preserve"> </w:t>
      </w:r>
      <w:r w:rsidRPr="00442C4B">
        <w:rPr>
          <w:spacing w:val="-3"/>
        </w:rPr>
        <w:t>derechos no queden sin titular que los ejercite ni las obligaciones sin sujeto a</w:t>
      </w:r>
      <w:r w:rsidR="00380FE3">
        <w:rPr>
          <w:spacing w:val="-3"/>
        </w:rPr>
        <w:t xml:space="preserve"> quien</w:t>
      </w:r>
      <w:r w:rsidR="00EF042C">
        <w:rPr>
          <w:spacing w:val="-3"/>
        </w:rPr>
        <w:t xml:space="preserve"> </w:t>
      </w:r>
      <w:r w:rsidRPr="00442C4B">
        <w:rPr>
          <w:spacing w:val="-3"/>
        </w:rPr>
        <w:t>exigir su cumplimiento.</w:t>
      </w:r>
    </w:p>
    <w:p w14:paraId="612FCE9A" w14:textId="51859510" w:rsidR="007F05A2" w:rsidRDefault="00ED7F07" w:rsidP="00ED7F0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Así mismo, existe un </w:t>
      </w:r>
      <w:r w:rsidRPr="00ED7F07">
        <w:rPr>
          <w:spacing w:val="-3"/>
        </w:rPr>
        <w:t>interés general en que se cumplan las relaciones</w:t>
      </w:r>
      <w:r>
        <w:rPr>
          <w:spacing w:val="-3"/>
        </w:rPr>
        <w:t xml:space="preserve"> </w:t>
      </w:r>
      <w:r w:rsidRPr="00ED7F07">
        <w:rPr>
          <w:spacing w:val="-3"/>
        </w:rPr>
        <w:t>jurídicas patrimoniales</w:t>
      </w:r>
      <w:r>
        <w:rPr>
          <w:spacing w:val="-3"/>
        </w:rPr>
        <w:t>, cuya inmensa mayoría no se extingue por la muerte</w:t>
      </w:r>
      <w:r w:rsidR="0006349D">
        <w:rPr>
          <w:spacing w:val="-3"/>
        </w:rPr>
        <w:t xml:space="preserve"> de una de las partes</w:t>
      </w:r>
      <w:r w:rsidRPr="00ED7F07">
        <w:rPr>
          <w:spacing w:val="-3"/>
        </w:rPr>
        <w:t>, más allá de los</w:t>
      </w:r>
      <w:r w:rsidR="0006349D">
        <w:rPr>
          <w:spacing w:val="-3"/>
        </w:rPr>
        <w:t xml:space="preserve"> </w:t>
      </w:r>
      <w:r w:rsidRPr="00ED7F07">
        <w:rPr>
          <w:spacing w:val="-3"/>
        </w:rPr>
        <w:t>intereses particulares del sucesor y de la otra parte de la relación.</w:t>
      </w:r>
    </w:p>
    <w:p w14:paraId="19CAF343" w14:textId="7BEA3C77" w:rsidR="007F05A2" w:rsidRDefault="00E80FE6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en el derecho español el fundamento de la sucesión </w:t>
      </w:r>
      <w:r w:rsidRPr="00251D38">
        <w:rPr>
          <w:i/>
          <w:iCs/>
          <w:spacing w:val="-3"/>
        </w:rPr>
        <w:t>mortis causa</w:t>
      </w:r>
      <w:r>
        <w:rPr>
          <w:spacing w:val="-3"/>
        </w:rPr>
        <w:t xml:space="preserve"> es constitucional, ya que el artículo 3</w:t>
      </w:r>
      <w:r w:rsidR="00F945B4">
        <w:rPr>
          <w:spacing w:val="-3"/>
        </w:rPr>
        <w:t>3.1 de la Constitución Española de 27 de diciembre de 1978</w:t>
      </w:r>
      <w:r w:rsidR="00950C9B">
        <w:rPr>
          <w:spacing w:val="-3"/>
        </w:rPr>
        <w:t xml:space="preserve"> </w:t>
      </w:r>
      <w:r w:rsidR="006B38F6">
        <w:rPr>
          <w:spacing w:val="-3"/>
        </w:rPr>
        <w:t xml:space="preserve">reconoce el derecho a la propiedad privada y a la herencia como un derecho fundamental, </w:t>
      </w:r>
      <w:r w:rsidR="0069683A">
        <w:rPr>
          <w:spacing w:val="-3"/>
        </w:rPr>
        <w:t>habiendo considerado el Tribunal Constitucional este reconocimiento, además, como una garantía institucional que el legislador no puede desconocer, por lo que debe regular esta sucesión</w:t>
      </w:r>
      <w:r w:rsidR="004A6C24">
        <w:rPr>
          <w:spacing w:val="-3"/>
        </w:rPr>
        <w:t xml:space="preserve"> en el marco de las exigencias constitucionales.</w:t>
      </w:r>
    </w:p>
    <w:p w14:paraId="641EAB9F" w14:textId="04EE9585" w:rsidR="004A6C24" w:rsidRDefault="004A6C2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33.2 de la Constitución establece que “</w:t>
      </w:r>
      <w:r w:rsidR="00BA6B5A">
        <w:rPr>
          <w:spacing w:val="-3"/>
        </w:rPr>
        <w:t>l</w:t>
      </w:r>
      <w:r w:rsidR="00BA6B5A" w:rsidRPr="00BA6B5A">
        <w:rPr>
          <w:spacing w:val="-3"/>
        </w:rPr>
        <w:t xml:space="preserve">a función social de estos derechos delimitará su contenido, de acuerdo con las </w:t>
      </w:r>
      <w:r w:rsidR="00BA6B5A">
        <w:rPr>
          <w:spacing w:val="-3"/>
        </w:rPr>
        <w:t>l</w:t>
      </w:r>
      <w:r w:rsidR="00BA6B5A" w:rsidRPr="00BA6B5A">
        <w:rPr>
          <w:spacing w:val="-3"/>
        </w:rPr>
        <w:t>eyes</w:t>
      </w:r>
      <w:r w:rsidR="00BA6B5A">
        <w:rPr>
          <w:spacing w:val="-3"/>
        </w:rPr>
        <w:t>”</w:t>
      </w:r>
      <w:r w:rsidR="00DB203E">
        <w:rPr>
          <w:spacing w:val="-3"/>
        </w:rPr>
        <w:t>, de lo que se derivan dos circunstancias:</w:t>
      </w:r>
    </w:p>
    <w:p w14:paraId="4FEAB1EF" w14:textId="1366D0A9" w:rsidR="00DB203E" w:rsidRPr="00E30722" w:rsidRDefault="00DB203E" w:rsidP="00E30722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0722">
        <w:rPr>
          <w:spacing w:val="-3"/>
        </w:rPr>
        <w:lastRenderedPageBreak/>
        <w:t xml:space="preserve">De un lado, que el legislador goza de amplísima libertad de configuración legal de la sucesión </w:t>
      </w:r>
      <w:r w:rsidRPr="00FB2291">
        <w:rPr>
          <w:i/>
          <w:iCs/>
          <w:spacing w:val="-3"/>
        </w:rPr>
        <w:t>mortis causa</w:t>
      </w:r>
      <w:r w:rsidRPr="00E30722">
        <w:rPr>
          <w:spacing w:val="-3"/>
        </w:rPr>
        <w:t xml:space="preserve">, </w:t>
      </w:r>
      <w:r w:rsidR="00CB113A" w:rsidRPr="00E30722">
        <w:rPr>
          <w:spacing w:val="-3"/>
        </w:rPr>
        <w:t xml:space="preserve">siempre que siempre prevea la existencia de un ámbito de </w:t>
      </w:r>
      <w:proofErr w:type="gramStart"/>
      <w:r w:rsidR="00CB113A" w:rsidRPr="00E30722">
        <w:rPr>
          <w:spacing w:val="-3"/>
        </w:rPr>
        <w:t>la misma</w:t>
      </w:r>
      <w:proofErr w:type="gramEnd"/>
      <w:r w:rsidR="00CB113A" w:rsidRPr="00E30722">
        <w:rPr>
          <w:spacing w:val="-3"/>
        </w:rPr>
        <w:t xml:space="preserve">, ya que la Constitución garantiza la existencia de un derecho individual a la sucesión </w:t>
      </w:r>
      <w:r w:rsidR="00CB113A" w:rsidRPr="00E30722">
        <w:rPr>
          <w:i/>
          <w:iCs/>
          <w:spacing w:val="-3"/>
        </w:rPr>
        <w:t>mortis causa</w:t>
      </w:r>
      <w:r w:rsidR="00CB113A" w:rsidRPr="00E30722">
        <w:rPr>
          <w:spacing w:val="-3"/>
        </w:rPr>
        <w:t>.</w:t>
      </w:r>
      <w:r w:rsidR="003D1CE2" w:rsidRPr="00E30722">
        <w:rPr>
          <w:spacing w:val="-3"/>
        </w:rPr>
        <w:t xml:space="preserve"> Por ello, tanto el derecho común como los </w:t>
      </w:r>
      <w:r w:rsidR="00FB2291">
        <w:rPr>
          <w:spacing w:val="-3"/>
        </w:rPr>
        <w:t xml:space="preserve">todos </w:t>
      </w:r>
      <w:r w:rsidR="00377812">
        <w:rPr>
          <w:spacing w:val="-3"/>
        </w:rPr>
        <w:t xml:space="preserve">los </w:t>
      </w:r>
      <w:r w:rsidR="003D1CE2" w:rsidRPr="00E30722">
        <w:rPr>
          <w:spacing w:val="-3"/>
        </w:rPr>
        <w:t xml:space="preserve">derechos civiles autonómicos reconocen el derecho a la herencia y regulan la sucesión </w:t>
      </w:r>
      <w:r w:rsidR="003D1CE2" w:rsidRPr="003B163C">
        <w:rPr>
          <w:i/>
          <w:iCs/>
          <w:spacing w:val="-3"/>
        </w:rPr>
        <w:t>mortis causa</w:t>
      </w:r>
      <w:r w:rsidR="003D1CE2" w:rsidRPr="00E30722">
        <w:rPr>
          <w:spacing w:val="-3"/>
        </w:rPr>
        <w:t>, si bien el contenido concreto de tal regulación es muy distinto e incluso para determinadas instituciones sucesorias asentado en principios divergentes, como ocurre con aspectos tan señalados como la sucesión contractual o el alcance de la libertad de testar y las legítimas.</w:t>
      </w:r>
    </w:p>
    <w:p w14:paraId="3553AD91" w14:textId="28ADE856" w:rsidR="007F05A2" w:rsidRPr="00E30722" w:rsidRDefault="006D7B0F" w:rsidP="00E30722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0722">
        <w:rPr>
          <w:spacing w:val="-3"/>
        </w:rPr>
        <w:t>De otro lado, que debe haber una participación de la sociedad en el valor de las herencias. Tradicionalmente, esta función social se ha verificado a través del impuesto sobre sucesiones</w:t>
      </w:r>
      <w:r w:rsidR="00515FB7" w:rsidRPr="00E30722">
        <w:rPr>
          <w:spacing w:val="-3"/>
        </w:rPr>
        <w:t xml:space="preserve">. </w:t>
      </w:r>
      <w:r w:rsidRPr="00E30722">
        <w:rPr>
          <w:spacing w:val="-3"/>
        </w:rPr>
        <w:t>Igualmente, la participación de la sociedad en el valor de la herencia se realiza</w:t>
      </w:r>
      <w:r w:rsidR="00515FB7" w:rsidRPr="00E30722">
        <w:rPr>
          <w:spacing w:val="-3"/>
        </w:rPr>
        <w:t xml:space="preserve"> </w:t>
      </w:r>
      <w:r w:rsidRPr="00E30722">
        <w:rPr>
          <w:spacing w:val="-3"/>
        </w:rPr>
        <w:t>también a través de la sucesión del Estado o de la Comunidad Autónoma a falta</w:t>
      </w:r>
      <w:r w:rsidR="00515FB7" w:rsidRPr="00E30722">
        <w:rPr>
          <w:spacing w:val="-3"/>
        </w:rPr>
        <w:t xml:space="preserve"> de testamento y parientes con derecho a la herencia</w:t>
      </w:r>
      <w:r w:rsidR="00BB010D" w:rsidRPr="00E30722">
        <w:rPr>
          <w:spacing w:val="-3"/>
        </w:rPr>
        <w:t xml:space="preserve">, </w:t>
      </w:r>
      <w:r w:rsidR="001E08E6" w:rsidRPr="00E30722">
        <w:rPr>
          <w:spacing w:val="-3"/>
        </w:rPr>
        <w:t xml:space="preserve">limitando tal derecho tanto el Código Civil como todos los derechos autonómicos a </w:t>
      </w:r>
      <w:r w:rsidR="001618A7" w:rsidRPr="00E30722">
        <w:rPr>
          <w:spacing w:val="-3"/>
        </w:rPr>
        <w:t xml:space="preserve">la línea recta y al </w:t>
      </w:r>
      <w:r w:rsidR="001E08E6" w:rsidRPr="00E30722">
        <w:rPr>
          <w:spacing w:val="-3"/>
        </w:rPr>
        <w:t xml:space="preserve">cuarto grado </w:t>
      </w:r>
      <w:r w:rsidR="001618A7" w:rsidRPr="00E30722">
        <w:rPr>
          <w:spacing w:val="-3"/>
        </w:rPr>
        <w:t>de la colateral.</w:t>
      </w:r>
    </w:p>
    <w:p w14:paraId="6E9C553B" w14:textId="77777777" w:rsidR="00BC1A33" w:rsidRDefault="00BC1A33" w:rsidP="00B70281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09C526D" w14:textId="7EC1DF31" w:rsidR="00210CFB" w:rsidRPr="00E30722" w:rsidRDefault="00E30722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30722">
        <w:rPr>
          <w:b/>
          <w:spacing w:val="-3"/>
        </w:rPr>
        <w:t>Evolución histórica.</w:t>
      </w:r>
    </w:p>
    <w:p w14:paraId="68A3C07B" w14:textId="3040D78B" w:rsidR="00B241CC" w:rsidRPr="00B241CC" w:rsidRDefault="00B241CC" w:rsidP="00B241CC">
      <w:pPr>
        <w:spacing w:before="120" w:after="120" w:line="360" w:lineRule="auto"/>
        <w:ind w:firstLine="708"/>
        <w:jc w:val="both"/>
        <w:rPr>
          <w:spacing w:val="-3"/>
        </w:rPr>
      </w:pPr>
      <w:r w:rsidRPr="00B241CC">
        <w:rPr>
          <w:spacing w:val="-3"/>
        </w:rPr>
        <w:t xml:space="preserve">La actual configuración del derecho sucesorio español es el resultado de la fusión de elementos </w:t>
      </w:r>
      <w:r>
        <w:rPr>
          <w:spacing w:val="-3"/>
        </w:rPr>
        <w:t>que se hacen sentir con mayor o menor intensidad en el Código Civil y en los derechos civiles autonómicos</w:t>
      </w:r>
      <w:r w:rsidR="004404B9">
        <w:rPr>
          <w:spacing w:val="-3"/>
        </w:rPr>
        <w:t>, y que se deben a tres orígenes, a saber:</w:t>
      </w:r>
    </w:p>
    <w:p w14:paraId="49B1E8A9" w14:textId="77777777" w:rsidR="004404B9" w:rsidRPr="009E4188" w:rsidRDefault="004404B9" w:rsidP="009E418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188">
        <w:rPr>
          <w:spacing w:val="-3"/>
        </w:rPr>
        <w:t>El derecho romano, del que deriva:</w:t>
      </w:r>
    </w:p>
    <w:p w14:paraId="28060C40" w14:textId="41351475" w:rsidR="004404B9" w:rsidRPr="009E4188" w:rsidRDefault="004404B9" w:rsidP="00BC1A3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 xml:space="preserve">La </w:t>
      </w:r>
      <w:r w:rsidR="00B241CC" w:rsidRPr="009E4188">
        <w:rPr>
          <w:spacing w:val="-3"/>
        </w:rPr>
        <w:t>exigencia de la institución de heredero</w:t>
      </w:r>
      <w:r w:rsidR="00BC1A33">
        <w:rPr>
          <w:spacing w:val="-3"/>
        </w:rPr>
        <w:t xml:space="preserve"> para la validez del testamento</w:t>
      </w:r>
      <w:r w:rsidRPr="009E4188">
        <w:rPr>
          <w:spacing w:val="-3"/>
        </w:rPr>
        <w:t>.</w:t>
      </w:r>
    </w:p>
    <w:p w14:paraId="3A2E2E52" w14:textId="159F7BB4" w:rsidR="00B241CC" w:rsidRPr="009E4188" w:rsidRDefault="004404B9" w:rsidP="00BC1A3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La i</w:t>
      </w:r>
      <w:r w:rsidR="00B241CC" w:rsidRPr="009E4188">
        <w:rPr>
          <w:spacing w:val="-3"/>
        </w:rPr>
        <w:t>ncompatibilidad de la sucesión testada e intestada</w:t>
      </w:r>
      <w:r w:rsidR="002264E5" w:rsidRPr="009E4188">
        <w:rPr>
          <w:spacing w:val="-3"/>
        </w:rPr>
        <w:t>.</w:t>
      </w:r>
    </w:p>
    <w:p w14:paraId="568D7C26" w14:textId="2A48ABD4" w:rsidR="006423D5" w:rsidRPr="009E4188" w:rsidRDefault="006423D5" w:rsidP="00BC1A3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 xml:space="preserve">La disposición </w:t>
      </w:r>
      <w:r w:rsidRPr="00B6645E">
        <w:rPr>
          <w:i/>
          <w:iCs/>
          <w:spacing w:val="-3"/>
        </w:rPr>
        <w:t>mortis causa</w:t>
      </w:r>
      <w:r w:rsidRPr="009E4188">
        <w:rPr>
          <w:spacing w:val="-3"/>
        </w:rPr>
        <w:t xml:space="preserve"> de bienes a través del testamento.</w:t>
      </w:r>
    </w:p>
    <w:p w14:paraId="40F4A7FA" w14:textId="1BDBF4CE" w:rsidR="006423D5" w:rsidRPr="009E4188" w:rsidRDefault="006423D5" w:rsidP="00BC1A3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La sucesión universal, tanto en los bienes y derechos como en las obligaciones.</w:t>
      </w:r>
    </w:p>
    <w:p w14:paraId="4386574B" w14:textId="77777777" w:rsidR="00B07BA0" w:rsidRDefault="001E1DCC" w:rsidP="009E418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188">
        <w:rPr>
          <w:spacing w:val="-3"/>
        </w:rPr>
        <w:t xml:space="preserve">El </w:t>
      </w:r>
      <w:r w:rsidR="00E81F48" w:rsidRPr="009E4188">
        <w:rPr>
          <w:spacing w:val="-3"/>
        </w:rPr>
        <w:t xml:space="preserve">derecho </w:t>
      </w:r>
      <w:r w:rsidR="00B241CC" w:rsidRPr="009E4188">
        <w:rPr>
          <w:spacing w:val="-3"/>
        </w:rPr>
        <w:t xml:space="preserve">germánico, </w:t>
      </w:r>
      <w:r w:rsidR="00E81F48" w:rsidRPr="009E4188">
        <w:rPr>
          <w:spacing w:val="-3"/>
        </w:rPr>
        <w:t>de</w:t>
      </w:r>
      <w:r w:rsidRPr="009E4188">
        <w:rPr>
          <w:spacing w:val="-3"/>
        </w:rPr>
        <w:t>l que deriva</w:t>
      </w:r>
      <w:r w:rsidR="00B07BA0">
        <w:rPr>
          <w:spacing w:val="-3"/>
        </w:rPr>
        <w:t>:</w:t>
      </w:r>
    </w:p>
    <w:p w14:paraId="33E9BC7D" w14:textId="77777777" w:rsidR="003A037C" w:rsidRDefault="00B07BA0" w:rsidP="003A037C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Importantes asp</w:t>
      </w:r>
      <w:r w:rsidR="00D03D19" w:rsidRPr="009E4188">
        <w:rPr>
          <w:spacing w:val="-3"/>
        </w:rPr>
        <w:t>ectos</w:t>
      </w:r>
      <w:r w:rsidR="005D4412" w:rsidRPr="009E4188">
        <w:rPr>
          <w:spacing w:val="-3"/>
        </w:rPr>
        <w:t xml:space="preserve"> del sistema legitimario</w:t>
      </w:r>
      <w:r w:rsidR="003A037C">
        <w:rPr>
          <w:spacing w:val="-3"/>
        </w:rPr>
        <w:t>.</w:t>
      </w:r>
    </w:p>
    <w:p w14:paraId="7AF11D2D" w14:textId="3CE6FB72" w:rsidR="001E1DCC" w:rsidRPr="009E4188" w:rsidRDefault="003A037C" w:rsidP="003A037C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B07BA0">
        <w:rPr>
          <w:spacing w:val="-3"/>
        </w:rPr>
        <w:t>a concepción del derecho hereditario como un modo de adquirir la propiedad.</w:t>
      </w:r>
    </w:p>
    <w:p w14:paraId="233793D0" w14:textId="0C8EC1B1" w:rsidR="00D03D19" w:rsidRPr="009E4188" w:rsidRDefault="002E5240" w:rsidP="009E418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188">
        <w:rPr>
          <w:spacing w:val="-3"/>
        </w:rPr>
        <w:t>E</w:t>
      </w:r>
      <w:r w:rsidR="00B241CC" w:rsidRPr="009E4188">
        <w:rPr>
          <w:spacing w:val="-3"/>
        </w:rPr>
        <w:t xml:space="preserve">l </w:t>
      </w:r>
      <w:r w:rsidR="00D03D19" w:rsidRPr="009E4188">
        <w:rPr>
          <w:spacing w:val="-3"/>
        </w:rPr>
        <w:t>derecho canónico</w:t>
      </w:r>
      <w:r w:rsidRPr="009E4188">
        <w:rPr>
          <w:spacing w:val="-3"/>
        </w:rPr>
        <w:t xml:space="preserve">, </w:t>
      </w:r>
      <w:r w:rsidR="00D03D19" w:rsidRPr="009E4188">
        <w:rPr>
          <w:spacing w:val="-3"/>
        </w:rPr>
        <w:t>del que deriva</w:t>
      </w:r>
      <w:r w:rsidR="009E4188" w:rsidRPr="009E4188">
        <w:rPr>
          <w:spacing w:val="-3"/>
        </w:rPr>
        <w:t>:</w:t>
      </w:r>
    </w:p>
    <w:p w14:paraId="5BA95F2B" w14:textId="6E39DEFE" w:rsidR="009E4188" w:rsidRPr="009E4188" w:rsidRDefault="009E4188" w:rsidP="00BC1A33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La flexibilización de las formalidades testamentarias.</w:t>
      </w:r>
    </w:p>
    <w:p w14:paraId="3D2CA398" w14:textId="3D5DB4D0" w:rsidR="009E4188" w:rsidRPr="009E4188" w:rsidRDefault="009E4188" w:rsidP="00BC1A33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La validez del testamento sin institución de heredero.</w:t>
      </w:r>
    </w:p>
    <w:p w14:paraId="2C3376CC" w14:textId="77777777" w:rsidR="009E4188" w:rsidRPr="009E4188" w:rsidRDefault="009E4188" w:rsidP="00BC1A33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</w:t>
      </w:r>
      <w:r w:rsidR="00B241CC" w:rsidRPr="009E4188">
        <w:rPr>
          <w:spacing w:val="-3"/>
        </w:rPr>
        <w:t>a compatibilidad entre sucesión testada e intestada</w:t>
      </w:r>
      <w:r w:rsidRPr="009E4188">
        <w:rPr>
          <w:spacing w:val="-3"/>
        </w:rPr>
        <w:t>.</w:t>
      </w:r>
    </w:p>
    <w:p w14:paraId="681DF035" w14:textId="08A0F3F7" w:rsidR="00210CFB" w:rsidRPr="009E4188" w:rsidRDefault="009E4188" w:rsidP="00BC1A33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lastRenderedPageBreak/>
        <w:t>La admisión de la sucesión contractual</w:t>
      </w:r>
      <w:r w:rsidR="00B241CC" w:rsidRPr="009E4188">
        <w:rPr>
          <w:spacing w:val="-3"/>
        </w:rPr>
        <w:t>.</w:t>
      </w:r>
    </w:p>
    <w:p w14:paraId="73040748" w14:textId="7C985368" w:rsidR="00210CFB" w:rsidRDefault="00210CF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AC4BF87" w14:textId="07D28AFF" w:rsidR="00210CFB" w:rsidRPr="00BC1A33" w:rsidRDefault="00BC1A33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C1A33">
        <w:rPr>
          <w:b/>
          <w:spacing w:val="-3"/>
        </w:rPr>
        <w:t>Clases.</w:t>
      </w:r>
    </w:p>
    <w:p w14:paraId="6E5C4323" w14:textId="13917AAE" w:rsidR="00B241CC" w:rsidRDefault="0071474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primer término, l</w:t>
      </w:r>
      <w:r w:rsidR="00C43E3A">
        <w:rPr>
          <w:spacing w:val="-3"/>
        </w:rPr>
        <w:t>a sucesión</w:t>
      </w:r>
      <w:r>
        <w:rPr>
          <w:spacing w:val="-3"/>
        </w:rPr>
        <w:t xml:space="preserve"> </w:t>
      </w:r>
      <w:r w:rsidRPr="00A95C6A">
        <w:rPr>
          <w:i/>
          <w:iCs/>
          <w:spacing w:val="-3"/>
        </w:rPr>
        <w:t>mortis causa</w:t>
      </w:r>
      <w:r>
        <w:rPr>
          <w:spacing w:val="-3"/>
        </w:rPr>
        <w:t xml:space="preserve"> puede se</w:t>
      </w:r>
      <w:r w:rsidR="005424BC">
        <w:rPr>
          <w:spacing w:val="-3"/>
        </w:rPr>
        <w:t>r</w:t>
      </w:r>
      <w:r>
        <w:rPr>
          <w:spacing w:val="-3"/>
        </w:rPr>
        <w:t xml:space="preserve"> a </w:t>
      </w:r>
      <w:r w:rsidR="00D10442">
        <w:rPr>
          <w:spacing w:val="-3"/>
        </w:rPr>
        <w:t>título</w:t>
      </w:r>
      <w:r>
        <w:rPr>
          <w:spacing w:val="-3"/>
        </w:rPr>
        <w:t xml:space="preserve"> universal o a título particular, según se suceda al causante en todo su patrimonio </w:t>
      </w:r>
      <w:r w:rsidR="00406C8D">
        <w:rPr>
          <w:spacing w:val="-3"/>
        </w:rPr>
        <w:t xml:space="preserve">o parte alícuota del mismo </w:t>
      </w:r>
      <w:r>
        <w:rPr>
          <w:spacing w:val="-3"/>
        </w:rPr>
        <w:t xml:space="preserve">o en </w:t>
      </w:r>
      <w:r w:rsidR="00600D38">
        <w:rPr>
          <w:spacing w:val="-3"/>
        </w:rPr>
        <w:t xml:space="preserve">elementos </w:t>
      </w:r>
      <w:r w:rsidR="00406C8D">
        <w:rPr>
          <w:spacing w:val="-3"/>
        </w:rPr>
        <w:t xml:space="preserve">patrimoniales </w:t>
      </w:r>
      <w:r w:rsidR="00600D38">
        <w:rPr>
          <w:spacing w:val="-3"/>
        </w:rPr>
        <w:t>concretos y determinados.</w:t>
      </w:r>
    </w:p>
    <w:p w14:paraId="63E6ECFB" w14:textId="5CB29225" w:rsidR="00B241CC" w:rsidRDefault="00F15F5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Código Civil admite tanto la herencia como el legado, indicando su artículo 660 que “l</w:t>
      </w:r>
      <w:r w:rsidRPr="00F15F52">
        <w:rPr>
          <w:spacing w:val="-3"/>
        </w:rPr>
        <w:t>lám</w:t>
      </w:r>
      <w:r w:rsidR="00CF5388">
        <w:rPr>
          <w:spacing w:val="-3"/>
        </w:rPr>
        <w:t>a</w:t>
      </w:r>
      <w:r w:rsidRPr="00F15F52">
        <w:rPr>
          <w:spacing w:val="-3"/>
        </w:rPr>
        <w:t>se heredero al que sucede a título universal y legatario al que sucede a título particular</w:t>
      </w:r>
      <w:r w:rsidR="00CF5388">
        <w:rPr>
          <w:spacing w:val="-3"/>
        </w:rPr>
        <w:t>”.</w:t>
      </w:r>
    </w:p>
    <w:p w14:paraId="499D8FE0" w14:textId="54D3C03D" w:rsidR="00CF5388" w:rsidRDefault="00CF538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segundo lugar, en atención a su origen la sucesión </w:t>
      </w:r>
      <w:r w:rsidRPr="00A66F85">
        <w:rPr>
          <w:i/>
          <w:iCs/>
          <w:spacing w:val="-3"/>
        </w:rPr>
        <w:t>mortis causa</w:t>
      </w:r>
      <w:r>
        <w:rPr>
          <w:spacing w:val="-3"/>
        </w:rPr>
        <w:t xml:space="preserve"> puede ser </w:t>
      </w:r>
      <w:r w:rsidR="00A66F85">
        <w:rPr>
          <w:spacing w:val="-3"/>
        </w:rPr>
        <w:t xml:space="preserve">voluntaria o legal, según la sucesión sea ordenada por el propio causante o por la </w:t>
      </w:r>
      <w:r w:rsidR="006605E9">
        <w:rPr>
          <w:spacing w:val="-3"/>
        </w:rPr>
        <w:t>l</w:t>
      </w:r>
      <w:r w:rsidR="00A66F85">
        <w:rPr>
          <w:spacing w:val="-3"/>
        </w:rPr>
        <w:t>ey</w:t>
      </w:r>
      <w:r w:rsidR="00DA7574">
        <w:rPr>
          <w:spacing w:val="-3"/>
        </w:rPr>
        <w:t xml:space="preserve">, pudiendo ser la primera testamentaria o contractual, según el acto privado de ordenación sea unilateral del causante o </w:t>
      </w:r>
      <w:r w:rsidR="006B6F36">
        <w:rPr>
          <w:spacing w:val="-3"/>
        </w:rPr>
        <w:t>implique el concurso de la voluntad de otras personas, generalmente herederos</w:t>
      </w:r>
      <w:r w:rsidR="00674C09">
        <w:rPr>
          <w:spacing w:val="-3"/>
        </w:rPr>
        <w:t>.</w:t>
      </w:r>
    </w:p>
    <w:p w14:paraId="4FC56618" w14:textId="5A78F6CB" w:rsidR="007A0426" w:rsidRPr="007A0426" w:rsidRDefault="007A0426" w:rsidP="007A042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Código Civil se refiere a ambos tipos de sucesión en su artículo</w:t>
      </w:r>
      <w:r w:rsidRPr="007A0426">
        <w:rPr>
          <w:spacing w:val="-3"/>
        </w:rPr>
        <w:t xml:space="preserve"> 658</w:t>
      </w:r>
      <w:r>
        <w:rPr>
          <w:spacing w:val="-3"/>
        </w:rPr>
        <w:t>, que dispone que “l</w:t>
      </w:r>
      <w:r w:rsidRPr="007A0426">
        <w:rPr>
          <w:spacing w:val="-3"/>
        </w:rPr>
        <w:t>a sucesión se defiere por la voluntad del hombre manifestada en testamento y, a falta de éste, por disposición de la Ley.</w:t>
      </w:r>
      <w:r>
        <w:rPr>
          <w:spacing w:val="-3"/>
        </w:rPr>
        <w:t xml:space="preserve"> </w:t>
      </w:r>
      <w:r w:rsidRPr="007A0426">
        <w:rPr>
          <w:spacing w:val="-3"/>
        </w:rPr>
        <w:t>La primera se llama testamentaria, y la segunda legítima.</w:t>
      </w:r>
      <w:r>
        <w:rPr>
          <w:spacing w:val="-3"/>
        </w:rPr>
        <w:t xml:space="preserve"> </w:t>
      </w:r>
      <w:r w:rsidRPr="007A0426">
        <w:rPr>
          <w:spacing w:val="-3"/>
        </w:rPr>
        <w:t>Podrá también deferirse en una parte por voluntad del hombre, y en otra por disposición de la Ley”</w:t>
      </w:r>
      <w:r w:rsidR="00A66AB7">
        <w:rPr>
          <w:spacing w:val="-3"/>
        </w:rPr>
        <w:t>.</w:t>
      </w:r>
    </w:p>
    <w:p w14:paraId="7C054E6C" w14:textId="0438FE42" w:rsidR="00B241CC" w:rsidRDefault="007A0426" w:rsidP="007A0426">
      <w:pPr>
        <w:spacing w:before="120" w:after="120" w:line="360" w:lineRule="auto"/>
        <w:ind w:firstLine="708"/>
        <w:jc w:val="both"/>
        <w:rPr>
          <w:spacing w:val="-3"/>
        </w:rPr>
      </w:pPr>
      <w:r w:rsidRPr="007A0426">
        <w:rPr>
          <w:spacing w:val="-3"/>
        </w:rPr>
        <w:t xml:space="preserve">Lo que no admite el Código </w:t>
      </w:r>
      <w:r>
        <w:rPr>
          <w:spacing w:val="-3"/>
        </w:rPr>
        <w:t xml:space="preserve">Civil </w:t>
      </w:r>
      <w:r w:rsidRPr="007A0426">
        <w:rPr>
          <w:spacing w:val="-3"/>
        </w:rPr>
        <w:t>es la sucesión contractual que, por el contrario, goza de gran predicamento en los ordenamientos forales</w:t>
      </w:r>
      <w:r w:rsidR="0099385B">
        <w:rPr>
          <w:spacing w:val="-3"/>
        </w:rPr>
        <w:t>, disponiendo el artículo 1271 que “</w:t>
      </w:r>
      <w:r w:rsidR="005B4777">
        <w:rPr>
          <w:spacing w:val="-3"/>
        </w:rPr>
        <w:t xml:space="preserve">(…) </w:t>
      </w:r>
      <w:r w:rsidR="0099385B">
        <w:rPr>
          <w:spacing w:val="-3"/>
        </w:rPr>
        <w:t>s</w:t>
      </w:r>
      <w:r w:rsidRPr="007A0426">
        <w:rPr>
          <w:spacing w:val="-3"/>
        </w:rPr>
        <w:t>obre la herencia futura no se podrá, sin embargo, celebrar otros contratos que aquéllos cuyo objeto sea practicar entre vivos la división de un caudal y otras disposiciones particionales</w:t>
      </w:r>
      <w:r w:rsidR="005B4777">
        <w:rPr>
          <w:spacing w:val="-3"/>
        </w:rPr>
        <w:t xml:space="preserve"> (…)</w:t>
      </w:r>
      <w:r w:rsidRPr="007A0426">
        <w:rPr>
          <w:spacing w:val="-3"/>
        </w:rPr>
        <w:t>”</w:t>
      </w:r>
      <w:r w:rsidR="005B4777">
        <w:rPr>
          <w:spacing w:val="-3"/>
        </w:rPr>
        <w:t>.</w:t>
      </w:r>
    </w:p>
    <w:p w14:paraId="486EB478" w14:textId="5A0E3888" w:rsidR="00B241CC" w:rsidRDefault="00B241CC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AAB9D54" w14:textId="044DDC60" w:rsidR="00CC17B0" w:rsidRDefault="00CC17B0" w:rsidP="00CC17B0">
      <w:pPr>
        <w:spacing w:before="120" w:after="120" w:line="360" w:lineRule="auto"/>
        <w:jc w:val="both"/>
        <w:rPr>
          <w:spacing w:val="-3"/>
        </w:rPr>
      </w:pPr>
      <w:r w:rsidRPr="00CC17B0">
        <w:rPr>
          <w:b/>
          <w:bCs/>
          <w:spacing w:val="-3"/>
        </w:rPr>
        <w:t xml:space="preserve">BREVE REFERENCIA A LA NORMATIVA DE LA UNIÓN EUROPEA SOBRE LEY APLICABLE EN MATERIA DE SUCESIONES </w:t>
      </w:r>
      <w:r w:rsidRPr="00CC17B0">
        <w:rPr>
          <w:b/>
          <w:bCs/>
          <w:i/>
          <w:iCs/>
          <w:spacing w:val="-3"/>
        </w:rPr>
        <w:t>MORTIS CAUSA</w:t>
      </w:r>
      <w:r w:rsidRPr="00CC17B0">
        <w:rPr>
          <w:b/>
          <w:bCs/>
          <w:spacing w:val="-3"/>
        </w:rPr>
        <w:t xml:space="preserve"> Y CERTIFICADO SUCESORIO EUROPEO</w:t>
      </w:r>
      <w:r>
        <w:rPr>
          <w:b/>
          <w:bCs/>
          <w:spacing w:val="-3"/>
        </w:rPr>
        <w:t>.</w:t>
      </w:r>
    </w:p>
    <w:p w14:paraId="7A19447C" w14:textId="1BD73D4F" w:rsidR="00CC17B0" w:rsidRDefault="005D239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pesar de que el artículo 9.6 del Código Civil </w:t>
      </w:r>
      <w:r w:rsidR="00201933">
        <w:rPr>
          <w:spacing w:val="-3"/>
        </w:rPr>
        <w:t xml:space="preserve">contiene la regla general de que la ley aplicable a la sucesión mortis causa es </w:t>
      </w:r>
      <w:r w:rsidR="00F32640" w:rsidRPr="003F41A3">
        <w:rPr>
          <w:iCs/>
          <w:spacing w:val="-3"/>
        </w:rPr>
        <w:t>la ley nacional del causante en el momento de su fallecimiento</w:t>
      </w:r>
      <w:r w:rsidR="00D500A1">
        <w:rPr>
          <w:iCs/>
          <w:spacing w:val="-3"/>
        </w:rPr>
        <w:t xml:space="preserve">, esta regla ha sido desplazada por el </w:t>
      </w:r>
      <w:r w:rsidR="00573FF7">
        <w:rPr>
          <w:iCs/>
          <w:spacing w:val="-3"/>
        </w:rPr>
        <w:t>Reglamento europeo</w:t>
      </w:r>
      <w:r w:rsidR="00573FF7" w:rsidRPr="007C33FA">
        <w:rPr>
          <w:spacing w:val="-3"/>
        </w:rPr>
        <w:t xml:space="preserve"> de 4 de julio de 2012</w:t>
      </w:r>
      <w:r w:rsidR="00573FF7">
        <w:rPr>
          <w:spacing w:val="-3"/>
        </w:rPr>
        <w:t xml:space="preserve">, </w:t>
      </w:r>
      <w:r w:rsidR="00573FF7">
        <w:rPr>
          <w:spacing w:val="-3"/>
        </w:rPr>
        <w:lastRenderedPageBreak/>
        <w:t xml:space="preserve">que </w:t>
      </w:r>
      <w:r w:rsidR="00573FF7" w:rsidRPr="004A646E">
        <w:rPr>
          <w:spacing w:val="-3"/>
        </w:rPr>
        <w:t xml:space="preserve">prevé </w:t>
      </w:r>
      <w:r w:rsidR="00573FF7">
        <w:rPr>
          <w:spacing w:val="-3"/>
        </w:rPr>
        <w:t>c</w:t>
      </w:r>
      <w:r w:rsidR="00573FF7" w:rsidRPr="008D054E">
        <w:rPr>
          <w:spacing w:val="-3"/>
        </w:rPr>
        <w:t>on carácter general</w:t>
      </w:r>
      <w:r w:rsidR="00573FF7">
        <w:rPr>
          <w:spacing w:val="-3"/>
        </w:rPr>
        <w:t xml:space="preserve"> que la ley aplicable a la totalidad de la sucesión es la </w:t>
      </w:r>
      <w:r w:rsidR="00573FF7" w:rsidRPr="008D054E">
        <w:rPr>
          <w:spacing w:val="-3"/>
        </w:rPr>
        <w:t xml:space="preserve">del Estado </w:t>
      </w:r>
      <w:r w:rsidR="00573FF7">
        <w:rPr>
          <w:spacing w:val="-3"/>
        </w:rPr>
        <w:t>de la última residencial habitual del causante</w:t>
      </w:r>
      <w:r w:rsidR="00573FF7" w:rsidRPr="008D054E">
        <w:rPr>
          <w:spacing w:val="-3"/>
        </w:rPr>
        <w:t>, salvo que</w:t>
      </w:r>
      <w:r w:rsidR="00573FF7">
        <w:rPr>
          <w:spacing w:val="-3"/>
        </w:rPr>
        <w:t xml:space="preserve"> el causante hubiese optado en disposición </w:t>
      </w:r>
      <w:r w:rsidR="00573FF7" w:rsidRPr="007C3A0B">
        <w:rPr>
          <w:i/>
          <w:iCs/>
          <w:spacing w:val="-3"/>
        </w:rPr>
        <w:t>mortis causa</w:t>
      </w:r>
      <w:r w:rsidR="00573FF7">
        <w:rPr>
          <w:spacing w:val="-3"/>
        </w:rPr>
        <w:t xml:space="preserve"> por su propia ley nacional o que, </w:t>
      </w:r>
      <w:r w:rsidR="00573FF7" w:rsidRPr="003A564C">
        <w:rPr>
          <w:spacing w:val="-3"/>
        </w:rPr>
        <w:t>de forma excepcional</w:t>
      </w:r>
      <w:r w:rsidR="00573FF7">
        <w:rPr>
          <w:spacing w:val="-3"/>
        </w:rPr>
        <w:t>,</w:t>
      </w:r>
      <w:r w:rsidR="00573FF7" w:rsidRPr="003A564C">
        <w:rPr>
          <w:spacing w:val="-3"/>
        </w:rPr>
        <w:t xml:space="preserve"> resultase que mantenía un vínculo más estrecho con otro Estado</w:t>
      </w:r>
      <w:r w:rsidR="00D500A1">
        <w:rPr>
          <w:spacing w:val="-3"/>
        </w:rPr>
        <w:t>.</w:t>
      </w:r>
    </w:p>
    <w:p w14:paraId="7239179F" w14:textId="6D5AF3D5" w:rsidR="00781843" w:rsidRDefault="0078184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este mismo Reglamento regula el certificado sucesorio europeo, que</w:t>
      </w:r>
      <w:r w:rsidR="00792B3D">
        <w:rPr>
          <w:spacing w:val="-3"/>
        </w:rPr>
        <w:t xml:space="preserve"> </w:t>
      </w:r>
      <w:r w:rsidR="004A17B6">
        <w:rPr>
          <w:spacing w:val="-3"/>
        </w:rPr>
        <w:t>e</w:t>
      </w:r>
      <w:r w:rsidR="0075522D" w:rsidRPr="0075522D">
        <w:rPr>
          <w:spacing w:val="-3"/>
        </w:rPr>
        <w:t xml:space="preserve">s </w:t>
      </w:r>
      <w:r w:rsidR="0075522D">
        <w:rPr>
          <w:spacing w:val="-3"/>
        </w:rPr>
        <w:t xml:space="preserve">un documento </w:t>
      </w:r>
      <w:r w:rsidR="0075522D" w:rsidRPr="0075522D">
        <w:rPr>
          <w:spacing w:val="-3"/>
        </w:rPr>
        <w:t>público autorizado por alguna de las autoridades nacionales encargadas de emitir documentos sucesorios con arreglo a sus leyes nacionales, fundamentalmente jueces y notarios</w:t>
      </w:r>
      <w:r w:rsidR="0075522D">
        <w:rPr>
          <w:spacing w:val="-3"/>
        </w:rPr>
        <w:t xml:space="preserve">, que </w:t>
      </w:r>
      <w:r w:rsidR="00792B3D">
        <w:rPr>
          <w:spacing w:val="-3"/>
        </w:rPr>
        <w:t>tiene</w:t>
      </w:r>
      <w:r w:rsidRPr="00781843">
        <w:rPr>
          <w:spacing w:val="-3"/>
        </w:rPr>
        <w:t xml:space="preserve"> </w:t>
      </w:r>
      <w:r w:rsidR="00792B3D">
        <w:rPr>
          <w:spacing w:val="-3"/>
        </w:rPr>
        <w:t xml:space="preserve">por finalidad </w:t>
      </w:r>
      <w:r w:rsidRPr="00781843">
        <w:rPr>
          <w:spacing w:val="-3"/>
        </w:rPr>
        <w:t xml:space="preserve">acreditar la condición de heredero, legatario o administrador de la herencia en </w:t>
      </w:r>
      <w:r w:rsidR="00792B3D">
        <w:rPr>
          <w:spacing w:val="-3"/>
        </w:rPr>
        <w:t>todos los Estados de la Unión Europea</w:t>
      </w:r>
      <w:r w:rsidR="003D32F5">
        <w:rPr>
          <w:spacing w:val="-3"/>
        </w:rPr>
        <w:t xml:space="preserve">, </w:t>
      </w:r>
      <w:r w:rsidR="003D32F5" w:rsidRPr="003D32F5">
        <w:rPr>
          <w:spacing w:val="-3"/>
        </w:rPr>
        <w:t xml:space="preserve">sin necesidad de procedimiento especial </w:t>
      </w:r>
      <w:r w:rsidR="003D32F5">
        <w:rPr>
          <w:spacing w:val="-3"/>
        </w:rPr>
        <w:t xml:space="preserve">alguno </w:t>
      </w:r>
      <w:r w:rsidR="003D32F5" w:rsidRPr="003D32F5">
        <w:rPr>
          <w:spacing w:val="-3"/>
        </w:rPr>
        <w:t>de reconocimiento</w:t>
      </w:r>
      <w:r w:rsidR="003D32F5">
        <w:rPr>
          <w:spacing w:val="-3"/>
        </w:rPr>
        <w:t>.</w:t>
      </w:r>
    </w:p>
    <w:p w14:paraId="2C4231DF" w14:textId="7B5BBD5C" w:rsidR="00792B3D" w:rsidRDefault="004A17B6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4A17B6">
        <w:rPr>
          <w:spacing w:val="-3"/>
        </w:rPr>
        <w:t xml:space="preserve">La autoridad </w:t>
      </w:r>
      <w:r>
        <w:rPr>
          <w:spacing w:val="-3"/>
        </w:rPr>
        <w:t xml:space="preserve">nacional </w:t>
      </w:r>
      <w:r w:rsidRPr="004A17B6">
        <w:rPr>
          <w:spacing w:val="-3"/>
        </w:rPr>
        <w:t xml:space="preserve">competente, </w:t>
      </w:r>
      <w:r>
        <w:rPr>
          <w:spacing w:val="-3"/>
        </w:rPr>
        <w:t>con carácter general</w:t>
      </w:r>
      <w:r w:rsidRPr="004A17B6">
        <w:rPr>
          <w:spacing w:val="-3"/>
        </w:rPr>
        <w:t xml:space="preserve">, será la autoridad del </w:t>
      </w:r>
      <w:r>
        <w:rPr>
          <w:spacing w:val="-3"/>
        </w:rPr>
        <w:t>E</w:t>
      </w:r>
      <w:r w:rsidRPr="004A17B6">
        <w:rPr>
          <w:spacing w:val="-3"/>
        </w:rPr>
        <w:t>stado de la ley aplicable</w:t>
      </w:r>
      <w:r>
        <w:rPr>
          <w:spacing w:val="-3"/>
        </w:rPr>
        <w:t>.</w:t>
      </w:r>
    </w:p>
    <w:p w14:paraId="655EFD84" w14:textId="6708FF22" w:rsidR="00CC17B0" w:rsidRDefault="00030CC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Su principal efecto es que presume </w:t>
      </w:r>
      <w:r w:rsidRPr="00030CC7">
        <w:rPr>
          <w:i/>
          <w:iCs/>
          <w:spacing w:val="-3"/>
        </w:rPr>
        <w:t>iuris tantum</w:t>
      </w:r>
      <w:r>
        <w:rPr>
          <w:spacing w:val="-3"/>
        </w:rPr>
        <w:t xml:space="preserve"> que </w:t>
      </w:r>
      <w:r w:rsidRPr="00030CC7">
        <w:rPr>
          <w:spacing w:val="-3"/>
        </w:rPr>
        <w:t>quien aparezca como heredero o legatario tiene esa cualidad y los derechos a ella inherentes sin más limitaciones que las consignadas en el certificado</w:t>
      </w:r>
      <w:r>
        <w:rPr>
          <w:spacing w:val="-3"/>
        </w:rPr>
        <w:t>.</w:t>
      </w:r>
    </w:p>
    <w:p w14:paraId="1EAB3824" w14:textId="4357BBCC" w:rsidR="00030CC7" w:rsidRDefault="00030CC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Es, además, título inscribible conforme al artículo 14 de la Ley Hipotecaria de </w:t>
      </w:r>
      <w:r w:rsidR="007C5B8F">
        <w:rPr>
          <w:spacing w:val="-3"/>
        </w:rPr>
        <w:t>8 de febrero de 1946.</w:t>
      </w:r>
    </w:p>
    <w:p w14:paraId="6833EF50" w14:textId="77777777" w:rsidR="00030CC7" w:rsidRDefault="00030CC7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E9BAA8C" w14:textId="0EF4205E" w:rsidR="00B241CC" w:rsidRDefault="000A6CAB" w:rsidP="000A6CAB">
      <w:pPr>
        <w:spacing w:before="120" w:after="120" w:line="360" w:lineRule="auto"/>
        <w:jc w:val="both"/>
        <w:rPr>
          <w:spacing w:val="-3"/>
        </w:rPr>
      </w:pPr>
      <w:r w:rsidRPr="000A6CAB">
        <w:rPr>
          <w:b/>
          <w:bCs/>
          <w:spacing w:val="-3"/>
        </w:rPr>
        <w:t>LA HERENCIA Y EL DERECHO HEREDITARIO.</w:t>
      </w:r>
    </w:p>
    <w:p w14:paraId="16C6350A" w14:textId="3488CE7A" w:rsidR="003A037C" w:rsidRPr="003A037C" w:rsidRDefault="003A037C" w:rsidP="00C8772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A037C">
        <w:rPr>
          <w:b/>
          <w:spacing w:val="-3"/>
        </w:rPr>
        <w:t>La herencia.</w:t>
      </w:r>
    </w:p>
    <w:p w14:paraId="6FA06D76" w14:textId="479E1631" w:rsidR="00C8772F" w:rsidRPr="00C8772F" w:rsidRDefault="00C8772F" w:rsidP="00C8772F">
      <w:pPr>
        <w:spacing w:before="120" w:after="120" w:line="360" w:lineRule="auto"/>
        <w:ind w:firstLine="708"/>
        <w:jc w:val="both"/>
        <w:rPr>
          <w:spacing w:val="-3"/>
        </w:rPr>
      </w:pPr>
      <w:r w:rsidRPr="00C8772F">
        <w:rPr>
          <w:spacing w:val="-3"/>
        </w:rPr>
        <w:t>Dos son los conceptos que de la herencia se pueden dar:</w:t>
      </w:r>
    </w:p>
    <w:p w14:paraId="71E69027" w14:textId="3535235A" w:rsidR="007E22F1" w:rsidRPr="00D45E78" w:rsidRDefault="007E22F1" w:rsidP="00D45E7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45E78">
        <w:rPr>
          <w:spacing w:val="-3"/>
        </w:rPr>
        <w:t xml:space="preserve">En sentido subjetivo, el concepto de herencia se identifica con la sucesión </w:t>
      </w:r>
      <w:r w:rsidRPr="00D45E78">
        <w:rPr>
          <w:i/>
          <w:iCs/>
          <w:spacing w:val="-3"/>
        </w:rPr>
        <w:t>mortis causa</w:t>
      </w:r>
      <w:r w:rsidRPr="00D45E78">
        <w:rPr>
          <w:spacing w:val="-3"/>
        </w:rPr>
        <w:t xml:space="preserve"> a título universal, como hace el artículo 660 del Código Civil al llamar heredero a quien sucede a título universal.</w:t>
      </w:r>
    </w:p>
    <w:p w14:paraId="696485E4" w14:textId="55D1EFBA" w:rsidR="00C8772F" w:rsidRPr="00D45E78" w:rsidRDefault="00AB3EBD" w:rsidP="00D45E7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45E78">
        <w:rPr>
          <w:spacing w:val="-3"/>
        </w:rPr>
        <w:t>E</w:t>
      </w:r>
      <w:r w:rsidR="00C8772F" w:rsidRPr="00D45E78">
        <w:rPr>
          <w:spacing w:val="-3"/>
        </w:rPr>
        <w:t xml:space="preserve">n sentido objetivo, su concepto </w:t>
      </w:r>
      <w:r w:rsidRPr="00D45E78">
        <w:rPr>
          <w:spacing w:val="-3"/>
        </w:rPr>
        <w:t>está</w:t>
      </w:r>
      <w:r w:rsidR="00C8772F" w:rsidRPr="00D45E78">
        <w:rPr>
          <w:spacing w:val="-3"/>
        </w:rPr>
        <w:t xml:space="preserve"> recogido </w:t>
      </w:r>
      <w:r w:rsidRPr="00D45E78">
        <w:rPr>
          <w:spacing w:val="-3"/>
        </w:rPr>
        <w:t>por</w:t>
      </w:r>
      <w:r w:rsidR="00C8772F" w:rsidRPr="00D45E78">
        <w:rPr>
          <w:spacing w:val="-3"/>
        </w:rPr>
        <w:t xml:space="preserve"> el art</w:t>
      </w:r>
      <w:r w:rsidRPr="00D45E78">
        <w:rPr>
          <w:spacing w:val="-3"/>
        </w:rPr>
        <w:t xml:space="preserve">ículo </w:t>
      </w:r>
      <w:r w:rsidR="00C8772F" w:rsidRPr="00D45E78">
        <w:rPr>
          <w:spacing w:val="-3"/>
        </w:rPr>
        <w:t>659</w:t>
      </w:r>
      <w:r w:rsidRPr="00D45E78">
        <w:rPr>
          <w:spacing w:val="-3"/>
        </w:rPr>
        <w:t xml:space="preserve"> del Código Civil, a </w:t>
      </w:r>
      <w:r w:rsidR="00C8772F" w:rsidRPr="00D45E78">
        <w:rPr>
          <w:spacing w:val="-3"/>
        </w:rPr>
        <w:t xml:space="preserve">cuyo tenor </w:t>
      </w:r>
      <w:r w:rsidRPr="00D45E78">
        <w:rPr>
          <w:spacing w:val="-3"/>
        </w:rPr>
        <w:t>“l</w:t>
      </w:r>
      <w:r w:rsidR="00C8772F" w:rsidRPr="00D45E78">
        <w:rPr>
          <w:spacing w:val="-3"/>
        </w:rPr>
        <w:t>a herencia comprende todos los bienes, derechos y obligaciones de una persona, que no se extingan por su muerte”</w:t>
      </w:r>
      <w:r w:rsidR="007E19E0" w:rsidRPr="00D45E78">
        <w:rPr>
          <w:spacing w:val="-3"/>
        </w:rPr>
        <w:t>.</w:t>
      </w:r>
    </w:p>
    <w:p w14:paraId="49020CCC" w14:textId="60FDCECF" w:rsidR="00A72BC8" w:rsidRPr="00D45E78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 xml:space="preserve">En general, se extinguen </w:t>
      </w:r>
      <w:r w:rsidR="008811EB" w:rsidRPr="00D45E78">
        <w:rPr>
          <w:spacing w:val="-3"/>
        </w:rPr>
        <w:t xml:space="preserve">por la muerte </w:t>
      </w:r>
      <w:r w:rsidRPr="00D45E78">
        <w:rPr>
          <w:spacing w:val="-3"/>
        </w:rPr>
        <w:t>las relaciones jurídicas de naturaleza no patrimonial,</w:t>
      </w:r>
      <w:r w:rsidR="008811EB" w:rsidRPr="00D45E78">
        <w:rPr>
          <w:spacing w:val="-3"/>
        </w:rPr>
        <w:t xml:space="preserve"> </w:t>
      </w:r>
      <w:r w:rsidRPr="00D45E78">
        <w:rPr>
          <w:spacing w:val="-3"/>
        </w:rPr>
        <w:t xml:space="preserve">como </w:t>
      </w:r>
      <w:r w:rsidR="008B45BF" w:rsidRPr="00D45E78">
        <w:rPr>
          <w:spacing w:val="-3"/>
        </w:rPr>
        <w:t xml:space="preserve">las </w:t>
      </w:r>
      <w:r w:rsidRPr="00D45E78">
        <w:rPr>
          <w:spacing w:val="-3"/>
        </w:rPr>
        <w:t>familiares</w:t>
      </w:r>
      <w:r w:rsidR="004F0915" w:rsidRPr="00D45E78">
        <w:rPr>
          <w:spacing w:val="-3"/>
        </w:rPr>
        <w:t>, de forma que</w:t>
      </w:r>
      <w:r w:rsidRPr="00D45E78">
        <w:rPr>
          <w:spacing w:val="-3"/>
        </w:rPr>
        <w:t xml:space="preserve"> la muerte disuelve el</w:t>
      </w:r>
      <w:r w:rsidR="008811EB" w:rsidRPr="00D45E78">
        <w:rPr>
          <w:spacing w:val="-3"/>
        </w:rPr>
        <w:t xml:space="preserve"> </w:t>
      </w:r>
      <w:r w:rsidRPr="00D45E78">
        <w:rPr>
          <w:spacing w:val="-3"/>
        </w:rPr>
        <w:t>matrimonio</w:t>
      </w:r>
      <w:r w:rsidR="00685A38" w:rsidRPr="00D45E78">
        <w:rPr>
          <w:spacing w:val="-3"/>
        </w:rPr>
        <w:t xml:space="preserve"> conforme al artículo 85 del Código Civil, </w:t>
      </w:r>
      <w:r w:rsidR="00445CF5" w:rsidRPr="00D45E78">
        <w:rPr>
          <w:spacing w:val="-3"/>
        </w:rPr>
        <w:t xml:space="preserve">y </w:t>
      </w:r>
      <w:r w:rsidRPr="00D45E78">
        <w:rPr>
          <w:spacing w:val="-3"/>
        </w:rPr>
        <w:t xml:space="preserve">extingue la patria potestad </w:t>
      </w:r>
      <w:r w:rsidR="00766094" w:rsidRPr="00D45E78">
        <w:rPr>
          <w:spacing w:val="-3"/>
        </w:rPr>
        <w:t>conforme al artículo 169 del Código Civil</w:t>
      </w:r>
      <w:r w:rsidRPr="00D45E78">
        <w:rPr>
          <w:spacing w:val="-3"/>
        </w:rPr>
        <w:t>. También se</w:t>
      </w:r>
      <w:r w:rsidR="008811EB" w:rsidRPr="00D45E78">
        <w:rPr>
          <w:spacing w:val="-3"/>
        </w:rPr>
        <w:t xml:space="preserve"> </w:t>
      </w:r>
      <w:r w:rsidRPr="00D45E78">
        <w:rPr>
          <w:spacing w:val="-3"/>
        </w:rPr>
        <w:t xml:space="preserve">extinguen las relaciones </w:t>
      </w:r>
      <w:r w:rsidRPr="00D45E78">
        <w:rPr>
          <w:spacing w:val="-3"/>
        </w:rPr>
        <w:lastRenderedPageBreak/>
        <w:t>jurídicas patrimoniales de base familiar</w:t>
      </w:r>
      <w:r w:rsidR="008811EB" w:rsidRPr="00D45E78">
        <w:rPr>
          <w:spacing w:val="-3"/>
        </w:rPr>
        <w:t xml:space="preserve">, como </w:t>
      </w:r>
      <w:r w:rsidRPr="00D45E78">
        <w:rPr>
          <w:spacing w:val="-3"/>
        </w:rPr>
        <w:t>la obligación de alimentos</w:t>
      </w:r>
      <w:r w:rsidR="00FD58E9" w:rsidRPr="00D45E78">
        <w:rPr>
          <w:spacing w:val="-3"/>
        </w:rPr>
        <w:t xml:space="preserve"> conforme al artículo 150 del Código Civil</w:t>
      </w:r>
      <w:r w:rsidR="0017534C" w:rsidRPr="00D45E78">
        <w:rPr>
          <w:spacing w:val="-3"/>
        </w:rPr>
        <w:t>.</w:t>
      </w:r>
    </w:p>
    <w:p w14:paraId="28376043" w14:textId="6AE50D75" w:rsidR="00A72BC8" w:rsidRPr="00D45E78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 xml:space="preserve">Igualmente, se extinguen los llamados derechos de la personalidad y los personalísimos, </w:t>
      </w:r>
      <w:r w:rsidR="00CF0080" w:rsidRPr="00D45E78">
        <w:rPr>
          <w:spacing w:val="-3"/>
        </w:rPr>
        <w:t xml:space="preserve">ya que conforme al artículo 32 del Código Civil la muerte </w:t>
      </w:r>
      <w:r w:rsidR="008B45BF" w:rsidRPr="00D45E78">
        <w:rPr>
          <w:spacing w:val="-3"/>
        </w:rPr>
        <w:t xml:space="preserve">extingue la personalidad civil, </w:t>
      </w:r>
      <w:r w:rsidRPr="00D45E78">
        <w:rPr>
          <w:spacing w:val="-3"/>
        </w:rPr>
        <w:t>si bien algunos de tales derechos gozan de protección jurídica después de la</w:t>
      </w:r>
      <w:r w:rsidR="0017534C" w:rsidRPr="00D45E78">
        <w:rPr>
          <w:spacing w:val="-3"/>
        </w:rPr>
        <w:t xml:space="preserve"> </w:t>
      </w:r>
      <w:r w:rsidRPr="00D45E78">
        <w:rPr>
          <w:spacing w:val="-3"/>
        </w:rPr>
        <w:t>muerte de su titular, como el</w:t>
      </w:r>
      <w:r w:rsidR="00365969">
        <w:rPr>
          <w:spacing w:val="-3"/>
        </w:rPr>
        <w:t xml:space="preserve"> derecho al</w:t>
      </w:r>
      <w:r w:rsidRPr="00D45E78">
        <w:rPr>
          <w:spacing w:val="-3"/>
        </w:rPr>
        <w:t xml:space="preserve"> honor o el derecho moral de autor.</w:t>
      </w:r>
    </w:p>
    <w:p w14:paraId="4FA78BF8" w14:textId="77777777" w:rsidR="00E02558" w:rsidRPr="00D45E78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>En cambio, también en general, no se extinguen las relaciones jurídicas de naturaleza patrimonial, ni las jurídico-reales ni las jurídico-obliga</w:t>
      </w:r>
      <w:r w:rsidR="0086612E" w:rsidRPr="00D45E78">
        <w:rPr>
          <w:spacing w:val="-3"/>
        </w:rPr>
        <w:t>cionales</w:t>
      </w:r>
      <w:r w:rsidRPr="00D45E78">
        <w:rPr>
          <w:spacing w:val="-3"/>
        </w:rPr>
        <w:t>.</w:t>
      </w:r>
    </w:p>
    <w:p w14:paraId="67CB4744" w14:textId="1D89D398" w:rsidR="006574A0" w:rsidRPr="00D45E78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>La propiedad y los derechos reales sobre cosa ajena no se extinguen, sino que se transmiten</w:t>
      </w:r>
      <w:r w:rsidR="0086612E" w:rsidRPr="00D45E78">
        <w:rPr>
          <w:spacing w:val="-3"/>
        </w:rPr>
        <w:t xml:space="preserve"> </w:t>
      </w:r>
      <w:r w:rsidRPr="00D45E78">
        <w:rPr>
          <w:spacing w:val="-3"/>
        </w:rPr>
        <w:t>a los sucesores del fallecido, salvo los derechos reales vitalicios o naturalmente</w:t>
      </w:r>
      <w:r w:rsidR="00F2370C" w:rsidRPr="00D45E78">
        <w:rPr>
          <w:spacing w:val="-3"/>
        </w:rPr>
        <w:t xml:space="preserve"> </w:t>
      </w:r>
      <w:r w:rsidRPr="00D45E78">
        <w:rPr>
          <w:spacing w:val="-3"/>
        </w:rPr>
        <w:t>temporales, como el usufructo, el uso y la habitación</w:t>
      </w:r>
      <w:r w:rsidR="004D3272" w:rsidRPr="00D45E78">
        <w:rPr>
          <w:spacing w:val="-3"/>
        </w:rPr>
        <w:t xml:space="preserve">, lo que precisan los artículos 513 y </w:t>
      </w:r>
      <w:r w:rsidR="00E02558" w:rsidRPr="00D45E78">
        <w:rPr>
          <w:spacing w:val="-3"/>
        </w:rPr>
        <w:t>529 del Código Civil</w:t>
      </w:r>
      <w:r w:rsidR="006574A0" w:rsidRPr="00D45E78">
        <w:rPr>
          <w:spacing w:val="-3"/>
        </w:rPr>
        <w:t>, s</w:t>
      </w:r>
      <w:r w:rsidRPr="00D45E78">
        <w:rPr>
          <w:spacing w:val="-3"/>
        </w:rPr>
        <w:t xml:space="preserve">ucesión </w:t>
      </w:r>
      <w:r w:rsidR="006574A0" w:rsidRPr="00D45E78">
        <w:rPr>
          <w:spacing w:val="-3"/>
        </w:rPr>
        <w:t xml:space="preserve">que </w:t>
      </w:r>
      <w:r w:rsidRPr="00D45E78">
        <w:rPr>
          <w:spacing w:val="-3"/>
        </w:rPr>
        <w:t xml:space="preserve">se produce tanto en la titularidad </w:t>
      </w:r>
      <w:r w:rsidR="00E02558" w:rsidRPr="00D45E78">
        <w:rPr>
          <w:spacing w:val="-3"/>
        </w:rPr>
        <w:t>dominical como en la del</w:t>
      </w:r>
      <w:r w:rsidR="006574A0" w:rsidRPr="00D45E78">
        <w:rPr>
          <w:spacing w:val="-3"/>
        </w:rPr>
        <w:t xml:space="preserve"> derecho limitativo del dominio.</w:t>
      </w:r>
    </w:p>
    <w:p w14:paraId="4A970167" w14:textId="77777777" w:rsidR="001956A0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>Tampoco se extinguen los derechos de crédito</w:t>
      </w:r>
      <w:r w:rsidR="00BF14B4" w:rsidRPr="00D45E78">
        <w:rPr>
          <w:spacing w:val="-3"/>
        </w:rPr>
        <w:t xml:space="preserve"> y los de origen contractual</w:t>
      </w:r>
      <w:r w:rsidRPr="00D45E78">
        <w:rPr>
          <w:spacing w:val="-3"/>
        </w:rPr>
        <w:t>, salvo que</w:t>
      </w:r>
      <w:r w:rsidR="001956A0">
        <w:rPr>
          <w:spacing w:val="-3"/>
        </w:rPr>
        <w:t>:</w:t>
      </w:r>
    </w:p>
    <w:p w14:paraId="7DC5B1D6" w14:textId="77777777" w:rsidR="001956A0" w:rsidRDefault="001956A0" w:rsidP="001956A0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A72BC8" w:rsidRPr="00D45E78">
        <w:rPr>
          <w:spacing w:val="-3"/>
        </w:rPr>
        <w:t>e trate de</w:t>
      </w:r>
      <w:r w:rsidR="007E22F1" w:rsidRPr="00D45E78">
        <w:rPr>
          <w:spacing w:val="-3"/>
        </w:rPr>
        <w:t xml:space="preserve"> derechos u obligaciones</w:t>
      </w:r>
      <w:r w:rsidR="00BA1455" w:rsidRPr="00D45E78">
        <w:rPr>
          <w:spacing w:val="-3"/>
        </w:rPr>
        <w:t xml:space="preserve"> </w:t>
      </w:r>
      <w:proofErr w:type="spellStart"/>
      <w:r w:rsidR="00BA1455" w:rsidRPr="00D45E78">
        <w:rPr>
          <w:i/>
          <w:iCs/>
          <w:spacing w:val="-3"/>
        </w:rPr>
        <w:t>intuitu</w:t>
      </w:r>
      <w:proofErr w:type="spellEnd"/>
      <w:r w:rsidR="00BA1455" w:rsidRPr="00D45E78">
        <w:rPr>
          <w:i/>
          <w:iCs/>
          <w:spacing w:val="-3"/>
        </w:rPr>
        <w:t xml:space="preserve"> </w:t>
      </w:r>
      <w:proofErr w:type="spellStart"/>
      <w:r w:rsidR="00BA1455" w:rsidRPr="00D45E78">
        <w:rPr>
          <w:i/>
          <w:iCs/>
          <w:spacing w:val="-3"/>
        </w:rPr>
        <w:t>personae</w:t>
      </w:r>
      <w:proofErr w:type="spellEnd"/>
      <w:r w:rsidR="00BA1455" w:rsidRPr="00D45E78">
        <w:rPr>
          <w:spacing w:val="-3"/>
        </w:rPr>
        <w:t xml:space="preserve"> como el arrendamiento de servicios celebrado por razón de las cualidades personales del arrendador, lo que precisa el artículo 1595 del Código Civil</w:t>
      </w:r>
      <w:r>
        <w:rPr>
          <w:spacing w:val="-3"/>
        </w:rPr>
        <w:t>.</w:t>
      </w:r>
    </w:p>
    <w:p w14:paraId="5CBFE74A" w14:textId="77777777" w:rsidR="001956A0" w:rsidRDefault="001956A0" w:rsidP="001956A0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</w:t>
      </w:r>
      <w:r w:rsidR="007E22F1" w:rsidRPr="00D45E78">
        <w:rPr>
          <w:spacing w:val="-3"/>
        </w:rPr>
        <w:t>a ley lo prevea expresamente</w:t>
      </w:r>
      <w:r w:rsidR="00597404" w:rsidRPr="00D45E78">
        <w:rPr>
          <w:spacing w:val="-3"/>
        </w:rPr>
        <w:t xml:space="preserve">, como </w:t>
      </w:r>
      <w:r w:rsidR="001B6E43" w:rsidRPr="00D45E78">
        <w:rPr>
          <w:spacing w:val="-3"/>
        </w:rPr>
        <w:t xml:space="preserve">es la regla general en el contrato de sociedad civil conforme a </w:t>
      </w:r>
      <w:r w:rsidR="00597404" w:rsidRPr="00D45E78">
        <w:rPr>
          <w:spacing w:val="-3"/>
        </w:rPr>
        <w:t>l</w:t>
      </w:r>
      <w:r w:rsidR="001B6E43" w:rsidRPr="00D45E78">
        <w:rPr>
          <w:spacing w:val="-3"/>
        </w:rPr>
        <w:t>os</w:t>
      </w:r>
      <w:r w:rsidR="00597404" w:rsidRPr="00D45E78">
        <w:rPr>
          <w:spacing w:val="-3"/>
        </w:rPr>
        <w:t xml:space="preserve"> artículo</w:t>
      </w:r>
      <w:r w:rsidR="001B6E43" w:rsidRPr="00D45E78">
        <w:rPr>
          <w:spacing w:val="-3"/>
        </w:rPr>
        <w:t>s</w:t>
      </w:r>
      <w:r w:rsidR="00597404" w:rsidRPr="00D45E78">
        <w:rPr>
          <w:spacing w:val="-3"/>
        </w:rPr>
        <w:t xml:space="preserve"> 1700 </w:t>
      </w:r>
      <w:r w:rsidR="001B6E43" w:rsidRPr="00D45E78">
        <w:rPr>
          <w:spacing w:val="-3"/>
        </w:rPr>
        <w:t xml:space="preserve">y 1704 </w:t>
      </w:r>
      <w:r w:rsidR="00597404" w:rsidRPr="00D45E78">
        <w:rPr>
          <w:spacing w:val="-3"/>
        </w:rPr>
        <w:t>del Código Civil</w:t>
      </w:r>
      <w:r>
        <w:rPr>
          <w:spacing w:val="-3"/>
        </w:rPr>
        <w:t>.</w:t>
      </w:r>
    </w:p>
    <w:p w14:paraId="21CC277B" w14:textId="4918EFF4" w:rsidR="007E22F1" w:rsidRPr="00D45E78" w:rsidRDefault="001956A0" w:rsidP="001956A0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7E22F1" w:rsidRPr="00D45E78">
        <w:rPr>
          <w:spacing w:val="-3"/>
        </w:rPr>
        <w:t>e trate de relaciones de confianza o de gestión</w:t>
      </w:r>
      <w:r w:rsidR="001F0771" w:rsidRPr="00D45E78">
        <w:rPr>
          <w:spacing w:val="-3"/>
        </w:rPr>
        <w:t>, como indica el artículo 1732 del Código Civil para el caso de muerte del mandatario.</w:t>
      </w:r>
    </w:p>
    <w:p w14:paraId="01C0BEAE" w14:textId="77777777" w:rsidR="003A037C" w:rsidRDefault="003A037C" w:rsidP="00C8772F">
      <w:pPr>
        <w:spacing w:before="120" w:after="120" w:line="360" w:lineRule="auto"/>
        <w:ind w:firstLine="708"/>
        <w:jc w:val="both"/>
        <w:rPr>
          <w:spacing w:val="-3"/>
        </w:rPr>
      </w:pPr>
    </w:p>
    <w:p w14:paraId="27F750B8" w14:textId="053A7ED3" w:rsidR="003A037C" w:rsidRPr="00A71336" w:rsidRDefault="003A037C" w:rsidP="00C8772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A037C">
        <w:rPr>
          <w:b/>
          <w:spacing w:val="-3"/>
        </w:rPr>
        <w:t xml:space="preserve">El derecho </w:t>
      </w:r>
      <w:r w:rsidRPr="00A71336">
        <w:rPr>
          <w:b/>
          <w:spacing w:val="-3"/>
        </w:rPr>
        <w:t>hereditario.</w:t>
      </w:r>
    </w:p>
    <w:p w14:paraId="70970BFB" w14:textId="5A5FCAE3" w:rsidR="00C8772F" w:rsidRPr="00C8772F" w:rsidRDefault="00C8772F" w:rsidP="00C8772F">
      <w:pPr>
        <w:spacing w:before="120" w:after="120" w:line="360" w:lineRule="auto"/>
        <w:ind w:firstLine="708"/>
        <w:jc w:val="both"/>
        <w:rPr>
          <w:spacing w:val="-3"/>
        </w:rPr>
      </w:pPr>
      <w:r w:rsidRPr="00A71336">
        <w:rPr>
          <w:spacing w:val="-3"/>
        </w:rPr>
        <w:t xml:space="preserve">Al igual que la herencia, el </w:t>
      </w:r>
      <w:r w:rsidR="007A79DD" w:rsidRPr="00A71336">
        <w:rPr>
          <w:spacing w:val="-3"/>
        </w:rPr>
        <w:t xml:space="preserve">concepto de </w:t>
      </w:r>
      <w:r w:rsidRPr="00A71336">
        <w:rPr>
          <w:spacing w:val="-3"/>
        </w:rPr>
        <w:t>derecho hereditario</w:t>
      </w:r>
      <w:r w:rsidRPr="00C8772F">
        <w:rPr>
          <w:spacing w:val="-3"/>
        </w:rPr>
        <w:t xml:space="preserve"> admite dos acepciones:</w:t>
      </w:r>
    </w:p>
    <w:p w14:paraId="3FC938F6" w14:textId="77777777" w:rsidR="007573F2" w:rsidRPr="00C8772F" w:rsidRDefault="007573F2" w:rsidP="00233CD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Pr="00C8772F">
        <w:rPr>
          <w:spacing w:val="-3"/>
        </w:rPr>
        <w:t xml:space="preserve">n sentido objetivo, </w:t>
      </w:r>
      <w:r>
        <w:rPr>
          <w:spacing w:val="-3"/>
        </w:rPr>
        <w:t>es el conjunto de normas</w:t>
      </w:r>
      <w:r w:rsidRPr="00C8772F">
        <w:rPr>
          <w:spacing w:val="-3"/>
        </w:rPr>
        <w:t xml:space="preserve"> que disciplinan la sucesión </w:t>
      </w:r>
      <w:r w:rsidRPr="00441BA6">
        <w:rPr>
          <w:i/>
          <w:iCs/>
          <w:spacing w:val="-3"/>
        </w:rPr>
        <w:t>mortis causa</w:t>
      </w:r>
      <w:r w:rsidRPr="00C8772F">
        <w:rPr>
          <w:spacing w:val="-3"/>
        </w:rPr>
        <w:t>.</w:t>
      </w:r>
    </w:p>
    <w:p w14:paraId="066FD7F0" w14:textId="4B5C3DF8" w:rsidR="007A79DD" w:rsidRDefault="007A79DD" w:rsidP="00233CD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Pr="00C8772F">
        <w:rPr>
          <w:spacing w:val="-3"/>
        </w:rPr>
        <w:t xml:space="preserve">n sentido subjetivo, </w:t>
      </w:r>
      <w:r>
        <w:rPr>
          <w:spacing w:val="-3"/>
        </w:rPr>
        <w:t xml:space="preserve">es </w:t>
      </w:r>
      <w:r w:rsidRPr="00C8772F">
        <w:rPr>
          <w:spacing w:val="-3"/>
        </w:rPr>
        <w:t>la facultad que corresponde al llamado a la herencia de aceptarla o repudiarla</w:t>
      </w:r>
      <w:r w:rsidR="000E384C">
        <w:rPr>
          <w:spacing w:val="-3"/>
        </w:rPr>
        <w:t xml:space="preserve"> o, cuando </w:t>
      </w:r>
      <w:r w:rsidRPr="00C8772F">
        <w:rPr>
          <w:spacing w:val="-3"/>
        </w:rPr>
        <w:t xml:space="preserve">son varias las personas llamadas a la sucesión </w:t>
      </w:r>
      <w:r w:rsidR="000E384C">
        <w:rPr>
          <w:spacing w:val="-3"/>
        </w:rPr>
        <w:t xml:space="preserve">que la aceptan, es el </w:t>
      </w:r>
      <w:r w:rsidRPr="00C8772F">
        <w:rPr>
          <w:spacing w:val="-3"/>
        </w:rPr>
        <w:t>derecho que cada uno tiene sobre la herencia mientras permanece indivisa.</w:t>
      </w:r>
    </w:p>
    <w:p w14:paraId="2C62698D" w14:textId="44A74B1A" w:rsidR="00233CDF" w:rsidRDefault="007573F2" w:rsidP="00233CD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>L</w:t>
      </w:r>
      <w:r w:rsidR="00C8772F" w:rsidRPr="00C8772F">
        <w:rPr>
          <w:spacing w:val="-3"/>
        </w:rPr>
        <w:t>os art</w:t>
      </w:r>
      <w:r>
        <w:rPr>
          <w:spacing w:val="-3"/>
        </w:rPr>
        <w:t>ículo</w:t>
      </w:r>
      <w:r w:rsidR="00C8772F" w:rsidRPr="00C8772F">
        <w:rPr>
          <w:spacing w:val="-3"/>
        </w:rPr>
        <w:t>s</w:t>
      </w:r>
      <w:r>
        <w:rPr>
          <w:spacing w:val="-3"/>
        </w:rPr>
        <w:t xml:space="preserve"> </w:t>
      </w:r>
      <w:r w:rsidR="00C8772F" w:rsidRPr="00C8772F">
        <w:rPr>
          <w:spacing w:val="-3"/>
        </w:rPr>
        <w:t>609, 657 y 661</w:t>
      </w:r>
      <w:r>
        <w:rPr>
          <w:spacing w:val="-3"/>
        </w:rPr>
        <w:t xml:space="preserve"> del Código Civil consideran al derecho hereditario </w:t>
      </w:r>
      <w:r w:rsidR="00C8772F" w:rsidRPr="00C8772F">
        <w:rPr>
          <w:spacing w:val="-3"/>
        </w:rPr>
        <w:t>como un modo de adquirir la propiedad</w:t>
      </w:r>
      <w:r w:rsidR="0085011C">
        <w:rPr>
          <w:spacing w:val="-3"/>
        </w:rPr>
        <w:t xml:space="preserve">, </w:t>
      </w:r>
      <w:r w:rsidR="00C8772F" w:rsidRPr="00C8772F">
        <w:rPr>
          <w:spacing w:val="-3"/>
        </w:rPr>
        <w:t>y no como un verdadero</w:t>
      </w:r>
      <w:r w:rsidR="007126E8">
        <w:rPr>
          <w:spacing w:val="-3"/>
        </w:rPr>
        <w:t xml:space="preserve"> d</w:t>
      </w:r>
      <w:r w:rsidR="00C8772F" w:rsidRPr="00C8772F">
        <w:rPr>
          <w:spacing w:val="-3"/>
        </w:rPr>
        <w:t>erecho real.</w:t>
      </w:r>
    </w:p>
    <w:p w14:paraId="430B2211" w14:textId="4C35E371" w:rsidR="00C8772F" w:rsidRPr="00C8772F" w:rsidRDefault="00BF53D6" w:rsidP="00233CD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233CDF">
        <w:rPr>
          <w:spacing w:val="-3"/>
        </w:rPr>
        <w:t>los</w:t>
      </w:r>
      <w:r>
        <w:rPr>
          <w:spacing w:val="-3"/>
        </w:rPr>
        <w:t xml:space="preserve"> artículo</w:t>
      </w:r>
      <w:r w:rsidR="00233CDF">
        <w:rPr>
          <w:spacing w:val="-3"/>
        </w:rPr>
        <w:t>s</w:t>
      </w:r>
      <w:r>
        <w:rPr>
          <w:spacing w:val="-3"/>
        </w:rPr>
        <w:t xml:space="preserve"> </w:t>
      </w:r>
      <w:r w:rsidR="005438AE">
        <w:rPr>
          <w:spacing w:val="-3"/>
        </w:rPr>
        <w:t xml:space="preserve">1000, </w:t>
      </w:r>
      <w:r>
        <w:rPr>
          <w:spacing w:val="-3"/>
        </w:rPr>
        <w:t xml:space="preserve">1067 </w:t>
      </w:r>
      <w:r w:rsidR="005438AE">
        <w:rPr>
          <w:spacing w:val="-3"/>
        </w:rPr>
        <w:t xml:space="preserve">y 1531 </w:t>
      </w:r>
      <w:r>
        <w:rPr>
          <w:spacing w:val="-3"/>
        </w:rPr>
        <w:t>del Código Civil admite</w:t>
      </w:r>
      <w:r w:rsidR="005438AE">
        <w:rPr>
          <w:spacing w:val="-3"/>
        </w:rPr>
        <w:t>n</w:t>
      </w:r>
      <w:r>
        <w:rPr>
          <w:spacing w:val="-3"/>
        </w:rPr>
        <w:t xml:space="preserve"> la venta del derecho hereditario</w:t>
      </w:r>
      <w:r w:rsidR="000659A4">
        <w:rPr>
          <w:spacing w:val="-3"/>
        </w:rPr>
        <w:t xml:space="preserve">, que es susceptible de anotación preventiva conforme a los artículos 42 y </w:t>
      </w:r>
      <w:r w:rsidR="00570662">
        <w:rPr>
          <w:spacing w:val="-3"/>
        </w:rPr>
        <w:t>46 de la Ley Hipotecaria de 8 de febrero de 1946.</w:t>
      </w:r>
    </w:p>
    <w:p w14:paraId="32CDDDBF" w14:textId="1CCACB61" w:rsidR="000A6CAB" w:rsidRDefault="000A6CA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AE91963" w14:textId="7ADDFD74" w:rsidR="000A6CAB" w:rsidRDefault="007126E8" w:rsidP="007126E8">
      <w:pPr>
        <w:spacing w:before="120" w:after="120" w:line="360" w:lineRule="auto"/>
        <w:jc w:val="both"/>
        <w:rPr>
          <w:spacing w:val="-3"/>
        </w:rPr>
      </w:pPr>
      <w:r w:rsidRPr="007126E8">
        <w:rPr>
          <w:b/>
          <w:bCs/>
          <w:spacing w:val="-3"/>
        </w:rPr>
        <w:t>CARÁCTER DIFERENCIAL ENTRE EL HEREDERO Y EL LEGATARIO.</w:t>
      </w:r>
    </w:p>
    <w:p w14:paraId="1E6251C2" w14:textId="07FD562B" w:rsidR="00E72385" w:rsidRPr="00E72385" w:rsidRDefault="00CE11BD" w:rsidP="00E723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heredero es el sucesor que sucede a título universal, mientras que el legatario es el sucesor que sucede a título particular.</w:t>
      </w:r>
    </w:p>
    <w:p w14:paraId="67443EDD" w14:textId="26C1211B" w:rsidR="00E72385" w:rsidRPr="00E72385" w:rsidRDefault="00E72385" w:rsidP="00E72385">
      <w:pPr>
        <w:spacing w:before="120" w:after="120" w:line="360" w:lineRule="auto"/>
        <w:ind w:firstLine="708"/>
        <w:jc w:val="both"/>
        <w:rPr>
          <w:spacing w:val="-3"/>
        </w:rPr>
      </w:pPr>
      <w:r w:rsidRPr="00E72385">
        <w:rPr>
          <w:spacing w:val="-3"/>
        </w:rPr>
        <w:t>El heredero ocupa el lugar de su causante</w:t>
      </w:r>
      <w:r w:rsidR="004E5C4C">
        <w:rPr>
          <w:spacing w:val="-3"/>
        </w:rPr>
        <w:t>,</w:t>
      </w:r>
      <w:r w:rsidRPr="00E72385">
        <w:rPr>
          <w:spacing w:val="-3"/>
        </w:rPr>
        <w:t xml:space="preserve"> y por ello </w:t>
      </w:r>
      <w:r w:rsidR="004E5C4C">
        <w:rPr>
          <w:spacing w:val="-3"/>
        </w:rPr>
        <w:t xml:space="preserve">el </w:t>
      </w:r>
      <w:r w:rsidRPr="00E72385">
        <w:rPr>
          <w:spacing w:val="-3"/>
        </w:rPr>
        <w:t xml:space="preserve">artículo 661 </w:t>
      </w:r>
      <w:r w:rsidR="004E5C4C">
        <w:rPr>
          <w:spacing w:val="-3"/>
        </w:rPr>
        <w:t>del Código Civil establece que “l</w:t>
      </w:r>
      <w:r w:rsidRPr="00E72385">
        <w:rPr>
          <w:spacing w:val="-3"/>
        </w:rPr>
        <w:t>os herederos suceden al difunto por el hecho sólo de su muerte en todos sus derechos y obligaciones”</w:t>
      </w:r>
      <w:r w:rsidR="00091FE2">
        <w:rPr>
          <w:spacing w:val="-3"/>
        </w:rPr>
        <w:t xml:space="preserve">, añadiendo el artículo </w:t>
      </w:r>
      <w:r w:rsidRPr="00E72385">
        <w:rPr>
          <w:spacing w:val="-3"/>
        </w:rPr>
        <w:t>1003</w:t>
      </w:r>
      <w:r w:rsidR="00091FE2">
        <w:rPr>
          <w:spacing w:val="-3"/>
        </w:rPr>
        <w:t xml:space="preserve"> que “p</w:t>
      </w:r>
      <w:r w:rsidRPr="00E72385">
        <w:rPr>
          <w:spacing w:val="-3"/>
        </w:rPr>
        <w:t>or la aceptación pura y simple, o sin beneficio de inventario, quedará el heredero responsable de todas las cargas de la herencia, no sólo con los bienes de ésta, sino también con los suyos propios”</w:t>
      </w:r>
      <w:r w:rsidR="00091FE2">
        <w:rPr>
          <w:spacing w:val="-3"/>
        </w:rPr>
        <w:t>.</w:t>
      </w:r>
    </w:p>
    <w:p w14:paraId="402C8252" w14:textId="4567391A" w:rsidR="00E72385" w:rsidRDefault="00091FE2" w:rsidP="00E723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E72385" w:rsidRPr="00E72385">
        <w:rPr>
          <w:spacing w:val="-3"/>
        </w:rPr>
        <w:t>or el contrario, el legatario no sucede en el pasivo hereditario</w:t>
      </w:r>
      <w:r w:rsidR="00D169A9">
        <w:rPr>
          <w:spacing w:val="-3"/>
        </w:rPr>
        <w:t>,</w:t>
      </w:r>
      <w:r w:rsidR="00E72385" w:rsidRPr="00E72385">
        <w:rPr>
          <w:spacing w:val="-3"/>
        </w:rPr>
        <w:t xml:space="preserve"> y sólo responde de las cargas que el testador pudiera haberle impuesto.</w:t>
      </w:r>
    </w:p>
    <w:p w14:paraId="02B0A089" w14:textId="77777777" w:rsidR="00C95075" w:rsidRDefault="001772C5" w:rsidP="001772C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</w:t>
      </w:r>
      <w:r w:rsidRPr="001772C5">
        <w:rPr>
          <w:spacing w:val="-3"/>
        </w:rPr>
        <w:t xml:space="preserve"> heredero adquiere </w:t>
      </w:r>
      <w:r w:rsidRPr="001772C5">
        <w:rPr>
          <w:i/>
          <w:iCs/>
          <w:spacing w:val="-3"/>
        </w:rPr>
        <w:t>ipso iure</w:t>
      </w:r>
      <w:r w:rsidRPr="001772C5">
        <w:rPr>
          <w:spacing w:val="-3"/>
        </w:rPr>
        <w:t xml:space="preserve"> la posesión de los bienes hereditarios</w:t>
      </w:r>
      <w:r w:rsidR="00C95075">
        <w:rPr>
          <w:spacing w:val="-3"/>
        </w:rPr>
        <w:t>, ya que el artículo 440 del Código Civil reconoce la posesión civilísima del heredero al prescribir que</w:t>
      </w:r>
      <w:r w:rsidRPr="001772C5">
        <w:rPr>
          <w:spacing w:val="-3"/>
        </w:rPr>
        <w:t xml:space="preserve"> “</w:t>
      </w:r>
      <w:r w:rsidR="00C95075">
        <w:rPr>
          <w:spacing w:val="-3"/>
        </w:rPr>
        <w:t>l</w:t>
      </w:r>
      <w:r w:rsidRPr="001772C5">
        <w:rPr>
          <w:spacing w:val="-3"/>
        </w:rPr>
        <w:t>a posesión de los</w:t>
      </w:r>
      <w:r w:rsidR="00C95075">
        <w:rPr>
          <w:spacing w:val="-3"/>
        </w:rPr>
        <w:t xml:space="preserve"> </w:t>
      </w:r>
      <w:r w:rsidRPr="001772C5">
        <w:rPr>
          <w:spacing w:val="-3"/>
        </w:rPr>
        <w:t>bienes hereditarios se entiende transmitida al heredero sin</w:t>
      </w:r>
      <w:r w:rsidR="00C95075">
        <w:rPr>
          <w:spacing w:val="-3"/>
        </w:rPr>
        <w:t xml:space="preserve"> </w:t>
      </w:r>
      <w:r w:rsidRPr="001772C5">
        <w:rPr>
          <w:spacing w:val="-3"/>
        </w:rPr>
        <w:t>interrupción y desde el momento de la muerte del causante,</w:t>
      </w:r>
      <w:r w:rsidR="00C95075">
        <w:rPr>
          <w:spacing w:val="-3"/>
        </w:rPr>
        <w:t xml:space="preserve"> </w:t>
      </w:r>
      <w:r w:rsidRPr="001772C5">
        <w:rPr>
          <w:spacing w:val="-3"/>
        </w:rPr>
        <w:t>en el caso de que llegue a adirse la herencia”</w:t>
      </w:r>
      <w:r w:rsidR="00C95075">
        <w:rPr>
          <w:spacing w:val="-3"/>
        </w:rPr>
        <w:t>.</w:t>
      </w:r>
    </w:p>
    <w:p w14:paraId="24067988" w14:textId="1C9B2F97" w:rsidR="001772C5" w:rsidRDefault="00C95075" w:rsidP="001772C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 contrario, </w:t>
      </w:r>
      <w:r w:rsidR="006D6E9E">
        <w:rPr>
          <w:spacing w:val="-3"/>
        </w:rPr>
        <w:t>conforme al artículo 885 del Código Civil, “e</w:t>
      </w:r>
      <w:r w:rsidR="006D6E9E" w:rsidRPr="006D6E9E">
        <w:rPr>
          <w:spacing w:val="-3"/>
        </w:rPr>
        <w:t>l legatario no puede ocupar por su propia autoridad la cosa legada, sino que debe pedir su entrega y posesión al heredero o al albacea</w:t>
      </w:r>
      <w:r w:rsidR="00784F42">
        <w:rPr>
          <w:spacing w:val="-3"/>
        </w:rPr>
        <w:t>,</w:t>
      </w:r>
      <w:r w:rsidR="00784F42" w:rsidRPr="00784F42">
        <w:t xml:space="preserve"> </w:t>
      </w:r>
      <w:r w:rsidR="00784F42" w:rsidRPr="00784F42">
        <w:rPr>
          <w:spacing w:val="-3"/>
        </w:rPr>
        <w:t>cuando éste se halle autorizado para darla</w:t>
      </w:r>
      <w:r w:rsidR="006D6E9E">
        <w:rPr>
          <w:spacing w:val="-3"/>
        </w:rPr>
        <w:t>”.</w:t>
      </w:r>
    </w:p>
    <w:p w14:paraId="091C422A" w14:textId="1750B3BC" w:rsidR="00D67242" w:rsidRDefault="00D67242" w:rsidP="00D672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</w:t>
      </w:r>
      <w:r w:rsidR="004F5BC0">
        <w:rPr>
          <w:spacing w:val="-3"/>
        </w:rPr>
        <w:t>otro lado</w:t>
      </w:r>
      <w:r w:rsidRPr="00D67242">
        <w:rPr>
          <w:spacing w:val="-3"/>
        </w:rPr>
        <w:t>, el heredero, para adquirir tal condición, ha</w:t>
      </w:r>
      <w:r w:rsidR="001D6699">
        <w:rPr>
          <w:spacing w:val="-3"/>
        </w:rPr>
        <w:t xml:space="preserve"> </w:t>
      </w:r>
      <w:r w:rsidRPr="00D67242">
        <w:rPr>
          <w:spacing w:val="-3"/>
        </w:rPr>
        <w:t xml:space="preserve">de aceptar </w:t>
      </w:r>
      <w:r w:rsidR="001D6699">
        <w:rPr>
          <w:spacing w:val="-3"/>
        </w:rPr>
        <w:t xml:space="preserve">expresa o tácitamente </w:t>
      </w:r>
      <w:r w:rsidRPr="00D67242">
        <w:rPr>
          <w:spacing w:val="-3"/>
        </w:rPr>
        <w:t>la herencia</w:t>
      </w:r>
      <w:r w:rsidR="001D6699">
        <w:rPr>
          <w:spacing w:val="-3"/>
        </w:rPr>
        <w:t>, conforme a los artículos</w:t>
      </w:r>
      <w:r w:rsidRPr="00D67242">
        <w:rPr>
          <w:spacing w:val="-3"/>
        </w:rPr>
        <w:t xml:space="preserve"> 988 y </w:t>
      </w:r>
      <w:r w:rsidR="001D6699">
        <w:rPr>
          <w:spacing w:val="-3"/>
        </w:rPr>
        <w:t>siguientes</w:t>
      </w:r>
      <w:r w:rsidRPr="00D67242">
        <w:rPr>
          <w:spacing w:val="-3"/>
        </w:rPr>
        <w:t xml:space="preserve"> </w:t>
      </w:r>
      <w:r w:rsidR="001D6699">
        <w:rPr>
          <w:spacing w:val="-3"/>
        </w:rPr>
        <w:t>del Código Civil</w:t>
      </w:r>
      <w:r w:rsidRPr="00D67242">
        <w:rPr>
          <w:spacing w:val="-3"/>
        </w:rPr>
        <w:t xml:space="preserve">, </w:t>
      </w:r>
      <w:r w:rsidR="00B96FB8">
        <w:rPr>
          <w:spacing w:val="-3"/>
        </w:rPr>
        <w:t>de modo que</w:t>
      </w:r>
      <w:r w:rsidR="0026351D">
        <w:rPr>
          <w:spacing w:val="-3"/>
        </w:rPr>
        <w:t xml:space="preserve"> modo que si muere antes de aceptar o repudiar la herencia no transmite a sus herederos más que el derecho a hacerlo, </w:t>
      </w:r>
      <w:r w:rsidR="004F5BC0">
        <w:rPr>
          <w:spacing w:val="-3"/>
        </w:rPr>
        <w:t>conforme al artículo 1006 del Código Civil</w:t>
      </w:r>
      <w:r w:rsidR="008A558D">
        <w:rPr>
          <w:spacing w:val="-3"/>
        </w:rPr>
        <w:t xml:space="preserve">. En cambio, </w:t>
      </w:r>
      <w:r w:rsidRPr="00D67242">
        <w:rPr>
          <w:spacing w:val="-3"/>
        </w:rPr>
        <w:t>el</w:t>
      </w:r>
      <w:r w:rsidR="001D6699">
        <w:rPr>
          <w:spacing w:val="-3"/>
        </w:rPr>
        <w:t xml:space="preserve"> </w:t>
      </w:r>
      <w:r w:rsidRPr="00D67242">
        <w:rPr>
          <w:spacing w:val="-3"/>
        </w:rPr>
        <w:t>legado se adquiere inmediatamente</w:t>
      </w:r>
      <w:r w:rsidR="001D6699">
        <w:rPr>
          <w:spacing w:val="-3"/>
        </w:rPr>
        <w:t xml:space="preserve">, disponiendo el artículo </w:t>
      </w:r>
      <w:r w:rsidR="005664D7">
        <w:rPr>
          <w:spacing w:val="-3"/>
        </w:rPr>
        <w:t>881 del Código Civil que “e</w:t>
      </w:r>
      <w:r w:rsidR="005664D7" w:rsidRPr="005664D7">
        <w:rPr>
          <w:spacing w:val="-3"/>
        </w:rPr>
        <w:t xml:space="preserve">l </w:t>
      </w:r>
      <w:r w:rsidR="005664D7" w:rsidRPr="005664D7">
        <w:rPr>
          <w:spacing w:val="-3"/>
        </w:rPr>
        <w:lastRenderedPageBreak/>
        <w:t>legatario adquiere derecho a los legados puros y simples desde la muerte del testador, y lo transmite a sus herederos</w:t>
      </w:r>
      <w:r w:rsidR="005664D7">
        <w:rPr>
          <w:spacing w:val="-3"/>
        </w:rPr>
        <w:t>”</w:t>
      </w:r>
      <w:r w:rsidRPr="00D67242">
        <w:rPr>
          <w:spacing w:val="-3"/>
        </w:rPr>
        <w:t>.</w:t>
      </w:r>
    </w:p>
    <w:p w14:paraId="21A2F211" w14:textId="348154F6" w:rsidR="00F47437" w:rsidRDefault="004F5BC0" w:rsidP="00E723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el heredero tiene acción para solicitar la </w:t>
      </w:r>
      <w:r w:rsidR="007354A1">
        <w:rPr>
          <w:spacing w:val="-3"/>
        </w:rPr>
        <w:t xml:space="preserve">división judicial </w:t>
      </w:r>
      <w:r>
        <w:rPr>
          <w:spacing w:val="-3"/>
        </w:rPr>
        <w:t>de la herencia, conforme a</w:t>
      </w:r>
      <w:r w:rsidR="00474C86">
        <w:rPr>
          <w:spacing w:val="-3"/>
        </w:rPr>
        <w:t xml:space="preserve"> </w:t>
      </w:r>
      <w:r>
        <w:rPr>
          <w:spacing w:val="-3"/>
        </w:rPr>
        <w:t>l</w:t>
      </w:r>
      <w:r w:rsidR="00474C86">
        <w:rPr>
          <w:spacing w:val="-3"/>
        </w:rPr>
        <w:t>os</w:t>
      </w:r>
      <w:r>
        <w:rPr>
          <w:spacing w:val="-3"/>
        </w:rPr>
        <w:t xml:space="preserve"> </w:t>
      </w:r>
      <w:r w:rsidR="007354A1">
        <w:rPr>
          <w:spacing w:val="-3"/>
        </w:rPr>
        <w:t>artículo</w:t>
      </w:r>
      <w:r w:rsidR="00474C86">
        <w:rPr>
          <w:spacing w:val="-3"/>
        </w:rPr>
        <w:t xml:space="preserve">s 1051 y 1052 del Código Civil y 782 de la Ley de Enjuiciamiento Civil </w:t>
      </w:r>
      <w:r w:rsidR="00F47437">
        <w:rPr>
          <w:spacing w:val="-3"/>
        </w:rPr>
        <w:t>de 7 de enero de 2000, acción que no tiene el legatario.</w:t>
      </w:r>
    </w:p>
    <w:p w14:paraId="5F640A17" w14:textId="77777777" w:rsidR="00BF51CC" w:rsidRDefault="004F5BC0" w:rsidP="00E723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la </w:t>
      </w:r>
      <w:r w:rsidR="00E72385" w:rsidRPr="00E72385">
        <w:rPr>
          <w:spacing w:val="-3"/>
        </w:rPr>
        <w:t>distinción entre heredero y legatario</w:t>
      </w:r>
      <w:r>
        <w:rPr>
          <w:spacing w:val="-3"/>
        </w:rPr>
        <w:t xml:space="preserve"> no es tan nítida </w:t>
      </w:r>
      <w:r w:rsidR="00E72385" w:rsidRPr="00E72385">
        <w:rPr>
          <w:spacing w:val="-3"/>
        </w:rPr>
        <w:t>cuando se trata de figuras linderas entre una y otra institución</w:t>
      </w:r>
      <w:r w:rsidR="00F47437">
        <w:rPr>
          <w:spacing w:val="-3"/>
        </w:rPr>
        <w:t>,</w:t>
      </w:r>
      <w:r w:rsidR="00E72385" w:rsidRPr="00E72385">
        <w:rPr>
          <w:spacing w:val="-3"/>
        </w:rPr>
        <w:t xml:space="preserve"> </w:t>
      </w:r>
      <w:r w:rsidR="00F47437">
        <w:rPr>
          <w:spacing w:val="-3"/>
        </w:rPr>
        <w:t xml:space="preserve">como </w:t>
      </w:r>
      <w:r w:rsidR="00BF51CC">
        <w:rPr>
          <w:spacing w:val="-3"/>
        </w:rPr>
        <w:t xml:space="preserve">son los </w:t>
      </w:r>
      <w:r w:rsidR="00F47437">
        <w:rPr>
          <w:spacing w:val="-3"/>
        </w:rPr>
        <w:t>caso</w:t>
      </w:r>
      <w:r w:rsidR="00BF51CC">
        <w:rPr>
          <w:spacing w:val="-3"/>
        </w:rPr>
        <w:t>s</w:t>
      </w:r>
      <w:r w:rsidR="00F47437">
        <w:rPr>
          <w:spacing w:val="-3"/>
        </w:rPr>
        <w:t xml:space="preserve"> de</w:t>
      </w:r>
      <w:r w:rsidR="00BF51CC">
        <w:rPr>
          <w:spacing w:val="-3"/>
        </w:rPr>
        <w:t>:</w:t>
      </w:r>
    </w:p>
    <w:p w14:paraId="68073AB6" w14:textId="77777777" w:rsidR="00BF51CC" w:rsidRPr="00514809" w:rsidRDefault="00BF51CC" w:rsidP="00514809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4809">
        <w:rPr>
          <w:spacing w:val="-3"/>
        </w:rPr>
        <w:t xml:space="preserve">El </w:t>
      </w:r>
      <w:r w:rsidR="00F47437" w:rsidRPr="00514809">
        <w:rPr>
          <w:spacing w:val="-3"/>
        </w:rPr>
        <w:t xml:space="preserve">heredero </w:t>
      </w:r>
      <w:r w:rsidR="00E72385" w:rsidRPr="00514809">
        <w:rPr>
          <w:i/>
          <w:iCs/>
          <w:spacing w:val="-3"/>
        </w:rPr>
        <w:t xml:space="preserve">ex re </w:t>
      </w:r>
      <w:proofErr w:type="spellStart"/>
      <w:r w:rsidR="00E72385" w:rsidRPr="00514809">
        <w:rPr>
          <w:i/>
          <w:iCs/>
          <w:spacing w:val="-3"/>
        </w:rPr>
        <w:t>certa</w:t>
      </w:r>
      <w:proofErr w:type="spellEnd"/>
      <w:r w:rsidR="00E72385" w:rsidRPr="00514809">
        <w:rPr>
          <w:spacing w:val="-3"/>
        </w:rPr>
        <w:t xml:space="preserve">, </w:t>
      </w:r>
      <w:r w:rsidRPr="00514809">
        <w:rPr>
          <w:spacing w:val="-3"/>
        </w:rPr>
        <w:t>disponiendo al respecto el artículo 768 del Código Civil que “el heredero instituido en una cosa cierta y determinada será considerado como legatario”.</w:t>
      </w:r>
    </w:p>
    <w:p w14:paraId="70574B44" w14:textId="77777777" w:rsidR="003135C9" w:rsidRPr="00514809" w:rsidRDefault="00BF51CC" w:rsidP="00514809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4809">
        <w:rPr>
          <w:spacing w:val="-3"/>
        </w:rPr>
        <w:t>L</w:t>
      </w:r>
      <w:r w:rsidR="00F47437" w:rsidRPr="00514809">
        <w:rPr>
          <w:spacing w:val="-3"/>
        </w:rPr>
        <w:t>a herencia totalmente dividida en legados</w:t>
      </w:r>
      <w:r w:rsidR="0054717A" w:rsidRPr="00514809">
        <w:rPr>
          <w:spacing w:val="-3"/>
        </w:rPr>
        <w:t>, disponiendo al respecto el artículo 891 del Código Civil que “si toda la herencia se distribuye en legados, se prorratearán las deudas y gravámenes de ella entre los legatarios a proporción de sus cuotas, a no ser que el testador hubiera dispuesto otra cosa”</w:t>
      </w:r>
      <w:r w:rsidR="003135C9" w:rsidRPr="00514809">
        <w:rPr>
          <w:spacing w:val="-3"/>
        </w:rPr>
        <w:t>.</w:t>
      </w:r>
    </w:p>
    <w:p w14:paraId="00A50234" w14:textId="78FAE041" w:rsidR="00F20837" w:rsidRPr="00514809" w:rsidRDefault="003135C9" w:rsidP="00514809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4809">
        <w:rPr>
          <w:spacing w:val="-3"/>
        </w:rPr>
        <w:t>El</w:t>
      </w:r>
      <w:r w:rsidR="00F20837" w:rsidRPr="00514809">
        <w:rPr>
          <w:spacing w:val="-3"/>
        </w:rPr>
        <w:t xml:space="preserve"> </w:t>
      </w:r>
      <w:r w:rsidR="00E72385" w:rsidRPr="00514809">
        <w:rPr>
          <w:spacing w:val="-3"/>
        </w:rPr>
        <w:t>legatario de parte alícuota,</w:t>
      </w:r>
      <w:r w:rsidR="00F20837" w:rsidRPr="00514809">
        <w:rPr>
          <w:spacing w:val="-3"/>
        </w:rPr>
        <w:t xml:space="preserve"> al que la Ley de Enjuiciamiento Civil sí que legitima </w:t>
      </w:r>
      <w:r w:rsidR="00BC14B4" w:rsidRPr="00514809">
        <w:rPr>
          <w:spacing w:val="-3"/>
        </w:rPr>
        <w:t>para instar la división judicial de la herencia</w:t>
      </w:r>
      <w:r w:rsidR="00BE67CF" w:rsidRPr="00514809">
        <w:rPr>
          <w:spacing w:val="-3"/>
        </w:rPr>
        <w:t xml:space="preserve"> y considera que debe concurrir a las juntas de herederos y participar en la formación de inventario</w:t>
      </w:r>
      <w:r w:rsidR="00BC14B4" w:rsidRPr="00514809">
        <w:rPr>
          <w:spacing w:val="-3"/>
        </w:rPr>
        <w:t xml:space="preserve">, </w:t>
      </w:r>
      <w:r w:rsidR="00D7654A">
        <w:rPr>
          <w:spacing w:val="-3"/>
        </w:rPr>
        <w:t>pudiendo solicitar anotación preventiva de derecho hereditario conforme al Reglamento Hipotecario</w:t>
      </w:r>
      <w:r w:rsidR="0025032E">
        <w:rPr>
          <w:spacing w:val="-3"/>
        </w:rPr>
        <w:t xml:space="preserve"> de 14 de febrero de 1947</w:t>
      </w:r>
      <w:r w:rsidR="008C6AFB">
        <w:rPr>
          <w:spacing w:val="-3"/>
        </w:rPr>
        <w:t>,</w:t>
      </w:r>
      <w:r w:rsidR="0025032E">
        <w:rPr>
          <w:spacing w:val="-3"/>
        </w:rPr>
        <w:t xml:space="preserve"> </w:t>
      </w:r>
      <w:r w:rsidR="00BC14B4" w:rsidRPr="00514809">
        <w:rPr>
          <w:spacing w:val="-3"/>
        </w:rPr>
        <w:t xml:space="preserve">y al que la jurisprudencia </w:t>
      </w:r>
      <w:r w:rsidR="00DC1389" w:rsidRPr="00514809">
        <w:rPr>
          <w:spacing w:val="-3"/>
        </w:rPr>
        <w:t xml:space="preserve">y la doctrina de la Dirección General de los Registros y del Notariado </w:t>
      </w:r>
      <w:r w:rsidR="00BC14B4" w:rsidRPr="00514809">
        <w:rPr>
          <w:spacing w:val="-3"/>
        </w:rPr>
        <w:t>equipara</w:t>
      </w:r>
      <w:r w:rsidR="00DC1389" w:rsidRPr="00514809">
        <w:rPr>
          <w:spacing w:val="-3"/>
        </w:rPr>
        <w:t>n</w:t>
      </w:r>
      <w:r w:rsidR="00BC14B4" w:rsidRPr="00514809">
        <w:rPr>
          <w:spacing w:val="-3"/>
        </w:rPr>
        <w:t xml:space="preserve"> a los herederos para </w:t>
      </w:r>
      <w:r w:rsidR="00077446" w:rsidRPr="00514809">
        <w:rPr>
          <w:spacing w:val="-3"/>
        </w:rPr>
        <w:t xml:space="preserve">liquidar la sociedad de gananciales o </w:t>
      </w:r>
      <w:r w:rsidR="00BC14B4" w:rsidRPr="00514809">
        <w:rPr>
          <w:spacing w:val="-3"/>
        </w:rPr>
        <w:t>disponer de los bienes hered</w:t>
      </w:r>
      <w:r w:rsidR="007F47FC" w:rsidRPr="00514809">
        <w:rPr>
          <w:spacing w:val="-3"/>
        </w:rPr>
        <w:t>itario</w:t>
      </w:r>
      <w:r w:rsidR="00BC14B4" w:rsidRPr="00514809">
        <w:rPr>
          <w:spacing w:val="-3"/>
        </w:rPr>
        <w:t>s mientras la herencia permanece indivisa.</w:t>
      </w:r>
    </w:p>
    <w:p w14:paraId="27448A49" w14:textId="0B79C9F8" w:rsidR="000A6CAB" w:rsidRPr="0027217B" w:rsidRDefault="000A6CA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A45F274" w14:textId="5780528D" w:rsidR="000A6CAB" w:rsidRPr="0027217B" w:rsidRDefault="007F47FC" w:rsidP="007F47FC">
      <w:pPr>
        <w:spacing w:before="120" w:after="120" w:line="360" w:lineRule="auto"/>
        <w:jc w:val="both"/>
        <w:rPr>
          <w:spacing w:val="-3"/>
        </w:rPr>
      </w:pPr>
      <w:r w:rsidRPr="0027217B">
        <w:rPr>
          <w:b/>
          <w:bCs/>
          <w:spacing w:val="-3"/>
        </w:rPr>
        <w:t>SITUACIONES EN QUE PUEDE ENCONTRARSE LA HERENCIA.</w:t>
      </w:r>
    </w:p>
    <w:p w14:paraId="0636EC55" w14:textId="729F2873" w:rsidR="000A6CAB" w:rsidRPr="0027217B" w:rsidRDefault="007F47FC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27217B">
        <w:rPr>
          <w:spacing w:val="-3"/>
        </w:rPr>
        <w:t xml:space="preserve">La muerte del causante da inicio al proceso sucesorio, </w:t>
      </w:r>
      <w:r w:rsidR="0027217B">
        <w:rPr>
          <w:spacing w:val="-3"/>
        </w:rPr>
        <w:t>compuesto por sucesivas fases</w:t>
      </w:r>
      <w:r w:rsidR="00BE4D91">
        <w:rPr>
          <w:spacing w:val="-3"/>
        </w:rPr>
        <w:t xml:space="preserve">, </w:t>
      </w:r>
      <w:r w:rsidR="0027217B">
        <w:rPr>
          <w:spacing w:val="-3"/>
        </w:rPr>
        <w:t xml:space="preserve">durante </w:t>
      </w:r>
      <w:r w:rsidR="00BE4D91">
        <w:rPr>
          <w:spacing w:val="-3"/>
        </w:rPr>
        <w:t xml:space="preserve">las cuales </w:t>
      </w:r>
      <w:r w:rsidR="0027217B">
        <w:rPr>
          <w:spacing w:val="-3"/>
        </w:rPr>
        <w:t>la herencia se e</w:t>
      </w:r>
      <w:r w:rsidR="00B07BA0">
        <w:rPr>
          <w:spacing w:val="-3"/>
        </w:rPr>
        <w:t>ncuentra en distintas situaciones.</w:t>
      </w:r>
      <w:r w:rsidR="000D2519">
        <w:rPr>
          <w:spacing w:val="-3"/>
        </w:rPr>
        <w:t xml:space="preserve"> Tales fases y situaciones son las siguientes:</w:t>
      </w:r>
    </w:p>
    <w:p w14:paraId="76F8F0D5" w14:textId="293728B3" w:rsidR="00AD7CC9" w:rsidRPr="008E33FB" w:rsidRDefault="00F77066" w:rsidP="008E33F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33FB">
        <w:rPr>
          <w:spacing w:val="-3"/>
        </w:rPr>
        <w:t xml:space="preserve">La primera </w:t>
      </w:r>
      <w:r w:rsidR="007B063C" w:rsidRPr="008E33FB">
        <w:rPr>
          <w:spacing w:val="-3"/>
        </w:rPr>
        <w:t xml:space="preserve">fase es </w:t>
      </w:r>
      <w:r w:rsidRPr="008E33FB">
        <w:rPr>
          <w:spacing w:val="-3"/>
        </w:rPr>
        <w:t>la apertura de la sucesión</w:t>
      </w:r>
      <w:r w:rsidR="007B063C" w:rsidRPr="008E33FB">
        <w:rPr>
          <w:spacing w:val="-3"/>
        </w:rPr>
        <w:t xml:space="preserve">, que </w:t>
      </w:r>
      <w:r w:rsidRPr="008E33FB">
        <w:rPr>
          <w:spacing w:val="-3"/>
        </w:rPr>
        <w:t xml:space="preserve">se produce </w:t>
      </w:r>
      <w:r w:rsidR="007B063C" w:rsidRPr="008E33FB">
        <w:rPr>
          <w:spacing w:val="-3"/>
        </w:rPr>
        <w:t xml:space="preserve">en </w:t>
      </w:r>
      <w:r w:rsidRPr="008E33FB">
        <w:rPr>
          <w:spacing w:val="-3"/>
        </w:rPr>
        <w:t>el</w:t>
      </w:r>
      <w:r w:rsidR="00662190" w:rsidRPr="008E33FB">
        <w:rPr>
          <w:spacing w:val="-3"/>
        </w:rPr>
        <w:t xml:space="preserve"> </w:t>
      </w:r>
      <w:r w:rsidRPr="008E33FB">
        <w:rPr>
          <w:spacing w:val="-3"/>
        </w:rPr>
        <w:t>momento de la muerte física del causante o en la fecha fijada por</w:t>
      </w:r>
      <w:r w:rsidR="00662190" w:rsidRPr="008E33FB">
        <w:rPr>
          <w:spacing w:val="-3"/>
        </w:rPr>
        <w:t xml:space="preserve"> </w:t>
      </w:r>
      <w:r w:rsidRPr="008E33FB">
        <w:rPr>
          <w:spacing w:val="-3"/>
        </w:rPr>
        <w:t>el juez en la resolución judicial de la declaración de fallecimiento</w:t>
      </w:r>
      <w:r w:rsidR="0007392D" w:rsidRPr="008E33FB">
        <w:rPr>
          <w:spacing w:val="-3"/>
        </w:rPr>
        <w:t xml:space="preserve">, ya que hasta esa fecha </w:t>
      </w:r>
      <w:r w:rsidR="00AD7CC9" w:rsidRPr="008E33FB">
        <w:rPr>
          <w:spacing w:val="-3"/>
        </w:rPr>
        <w:t>el artículo 195 del Código Civil</w:t>
      </w:r>
      <w:r w:rsidR="00960934" w:rsidRPr="008E33FB">
        <w:rPr>
          <w:spacing w:val="-3"/>
        </w:rPr>
        <w:t xml:space="preserve"> </w:t>
      </w:r>
      <w:r w:rsidR="00AD7CC9" w:rsidRPr="008E33FB">
        <w:rPr>
          <w:spacing w:val="-3"/>
        </w:rPr>
        <w:t>presume que el ausente ha vivido.</w:t>
      </w:r>
    </w:p>
    <w:p w14:paraId="15077659" w14:textId="12BE89FD" w:rsidR="00662190" w:rsidRPr="008E33FB" w:rsidRDefault="00960934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lastRenderedPageBreak/>
        <w:t xml:space="preserve">Antes de estos momentos, la herencia está </w:t>
      </w:r>
      <w:r w:rsidRPr="008E33FB">
        <w:rPr>
          <w:i/>
          <w:iCs/>
          <w:spacing w:val="-3"/>
        </w:rPr>
        <w:t>sin deferir</w:t>
      </w:r>
      <w:r w:rsidR="00023781" w:rsidRPr="008E33FB">
        <w:rPr>
          <w:spacing w:val="-3"/>
        </w:rPr>
        <w:t xml:space="preserve">, y cuando se producen, está </w:t>
      </w:r>
      <w:r w:rsidR="00023781" w:rsidRPr="008E33FB">
        <w:rPr>
          <w:i/>
          <w:iCs/>
          <w:spacing w:val="-3"/>
        </w:rPr>
        <w:t>abierta</w:t>
      </w:r>
      <w:r w:rsidR="00023781" w:rsidRPr="008E33FB">
        <w:rPr>
          <w:spacing w:val="-3"/>
        </w:rPr>
        <w:t>.</w:t>
      </w:r>
    </w:p>
    <w:p w14:paraId="5F5D7F68" w14:textId="447154AC" w:rsidR="00F77066" w:rsidRPr="008E33FB" w:rsidRDefault="00960934" w:rsidP="008E33F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33FB">
        <w:rPr>
          <w:spacing w:val="-3"/>
        </w:rPr>
        <w:t>Tras la apertura, l</w:t>
      </w:r>
      <w:r w:rsidR="00F77066" w:rsidRPr="008E33FB">
        <w:rPr>
          <w:spacing w:val="-3"/>
        </w:rPr>
        <w:t>a segunda fase es la vocación a la herencia</w:t>
      </w:r>
      <w:r w:rsidR="00897D63" w:rsidRPr="008E33FB">
        <w:rPr>
          <w:spacing w:val="-3"/>
        </w:rPr>
        <w:t xml:space="preserve">, es decir, </w:t>
      </w:r>
      <w:r w:rsidR="00F77066" w:rsidRPr="008E33FB">
        <w:rPr>
          <w:spacing w:val="-3"/>
        </w:rPr>
        <w:t>el llamamiento abstracto y general a</w:t>
      </w:r>
      <w:r w:rsidR="00897D63" w:rsidRPr="008E33FB">
        <w:rPr>
          <w:spacing w:val="-3"/>
        </w:rPr>
        <w:t xml:space="preserve"> </w:t>
      </w:r>
      <w:r w:rsidR="00F77066" w:rsidRPr="008E33FB">
        <w:rPr>
          <w:spacing w:val="-3"/>
        </w:rPr>
        <w:t>todos los posibles herederos</w:t>
      </w:r>
      <w:r w:rsidR="00B26778" w:rsidRPr="008E33FB">
        <w:rPr>
          <w:spacing w:val="-3"/>
        </w:rPr>
        <w:t>, la cual, como precisa el Tribunal Supremo,</w:t>
      </w:r>
      <w:r w:rsidR="00F77066" w:rsidRPr="008E33FB">
        <w:rPr>
          <w:spacing w:val="-3"/>
        </w:rPr>
        <w:t xml:space="preserve"> alcanza a toda persona que ha</w:t>
      </w:r>
      <w:r w:rsidR="00B26778" w:rsidRPr="008E33FB">
        <w:rPr>
          <w:spacing w:val="-3"/>
        </w:rPr>
        <w:t xml:space="preserve"> </w:t>
      </w:r>
      <w:r w:rsidR="00F77066" w:rsidRPr="008E33FB">
        <w:rPr>
          <w:spacing w:val="-3"/>
        </w:rPr>
        <w:t>sido designada como heredero principal o subsidiariamente en el testamento o</w:t>
      </w:r>
      <w:r w:rsidR="00B26778" w:rsidRPr="008E33FB">
        <w:rPr>
          <w:spacing w:val="-3"/>
        </w:rPr>
        <w:t xml:space="preserve"> </w:t>
      </w:r>
      <w:r w:rsidR="00F77066" w:rsidRPr="008E33FB">
        <w:rPr>
          <w:spacing w:val="-3"/>
        </w:rPr>
        <w:t>que pueda ser heredero abintestato</w:t>
      </w:r>
      <w:r w:rsidR="003F7998">
        <w:rPr>
          <w:spacing w:val="-3"/>
        </w:rPr>
        <w:t>,</w:t>
      </w:r>
      <w:r w:rsidR="00F77066" w:rsidRPr="008E33FB">
        <w:rPr>
          <w:spacing w:val="-3"/>
        </w:rPr>
        <w:t xml:space="preserve"> es decir, </w:t>
      </w:r>
      <w:r w:rsidR="003F7998">
        <w:rPr>
          <w:spacing w:val="-3"/>
        </w:rPr>
        <w:t xml:space="preserve">a </w:t>
      </w:r>
      <w:r w:rsidR="00F77066" w:rsidRPr="008E33FB">
        <w:rPr>
          <w:spacing w:val="-3"/>
        </w:rPr>
        <w:t>todo sucesor eventual o posible, que</w:t>
      </w:r>
      <w:r w:rsidR="00B26778" w:rsidRPr="008E33FB">
        <w:rPr>
          <w:spacing w:val="-3"/>
        </w:rPr>
        <w:t xml:space="preserve"> </w:t>
      </w:r>
      <w:r w:rsidR="00F77066" w:rsidRPr="008E33FB">
        <w:rPr>
          <w:spacing w:val="-3"/>
        </w:rPr>
        <w:t xml:space="preserve">se concretará cuando conste quién es o quiénes son los llamados que tienen </w:t>
      </w:r>
      <w:r w:rsidR="00A77AAC" w:rsidRPr="008E33FB">
        <w:rPr>
          <w:spacing w:val="-3"/>
        </w:rPr>
        <w:t xml:space="preserve">el </w:t>
      </w:r>
      <w:r w:rsidR="00A77AAC" w:rsidRPr="008E33FB">
        <w:rPr>
          <w:i/>
          <w:iCs/>
          <w:spacing w:val="-3"/>
        </w:rPr>
        <w:t xml:space="preserve">ius </w:t>
      </w:r>
      <w:proofErr w:type="spellStart"/>
      <w:r w:rsidR="00A77AAC" w:rsidRPr="008E33FB">
        <w:rPr>
          <w:i/>
          <w:iCs/>
          <w:spacing w:val="-3"/>
        </w:rPr>
        <w:t>delationis</w:t>
      </w:r>
      <w:proofErr w:type="spellEnd"/>
      <w:r w:rsidR="00FD5A11" w:rsidRPr="008E33FB">
        <w:rPr>
          <w:spacing w:val="-3"/>
        </w:rPr>
        <w:t xml:space="preserve"> al que me referiré inmediatamente.</w:t>
      </w:r>
    </w:p>
    <w:p w14:paraId="1B966A1A" w14:textId="63F99A86" w:rsidR="00023781" w:rsidRPr="008E33FB" w:rsidRDefault="00023781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 xml:space="preserve">Durante la vocación, la herencia está </w:t>
      </w:r>
      <w:r w:rsidRPr="008E33FB">
        <w:rPr>
          <w:i/>
          <w:iCs/>
          <w:spacing w:val="-3"/>
        </w:rPr>
        <w:t>deferida</w:t>
      </w:r>
      <w:r w:rsidRPr="008E33FB">
        <w:rPr>
          <w:spacing w:val="-3"/>
        </w:rPr>
        <w:t>.</w:t>
      </w:r>
    </w:p>
    <w:p w14:paraId="5B7B3EF9" w14:textId="6FF78DB4" w:rsidR="00F77066" w:rsidRPr="008E33FB" w:rsidRDefault="00F77066" w:rsidP="008E33F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33FB">
        <w:rPr>
          <w:spacing w:val="-3"/>
        </w:rPr>
        <w:t>La tercera fase es la delación de la herencia</w:t>
      </w:r>
      <w:r w:rsidR="00023781" w:rsidRPr="008E33FB">
        <w:rPr>
          <w:spacing w:val="-3"/>
        </w:rPr>
        <w:t>,</w:t>
      </w:r>
      <w:r w:rsidRPr="008E33FB">
        <w:rPr>
          <w:spacing w:val="-3"/>
        </w:rPr>
        <w:t xml:space="preserve"> es decir, el ofrecimiento de la</w:t>
      </w:r>
      <w:r w:rsidR="007D6CE9">
        <w:rPr>
          <w:spacing w:val="-3"/>
        </w:rPr>
        <w:t xml:space="preserve"> </w:t>
      </w:r>
      <w:r w:rsidRPr="008E33FB">
        <w:rPr>
          <w:spacing w:val="-3"/>
        </w:rPr>
        <w:t xml:space="preserve">herencia a </w:t>
      </w:r>
      <w:r w:rsidR="00FA3194">
        <w:rPr>
          <w:spacing w:val="-3"/>
        </w:rPr>
        <w:t>uno o varios</w:t>
      </w:r>
      <w:r w:rsidRPr="008E33FB">
        <w:rPr>
          <w:spacing w:val="-3"/>
        </w:rPr>
        <w:t xml:space="preserve"> herederos concretos. Con la delación, el llamado adquiere un derecho subjetivo de contenido patrimonial llamado </w:t>
      </w:r>
      <w:r w:rsidRPr="008E33FB">
        <w:rPr>
          <w:i/>
          <w:iCs/>
          <w:spacing w:val="-3"/>
        </w:rPr>
        <w:t>ius</w:t>
      </w:r>
      <w:r w:rsidR="00FD5A11" w:rsidRPr="008E33FB">
        <w:rPr>
          <w:i/>
          <w:iCs/>
          <w:spacing w:val="-3"/>
        </w:rPr>
        <w:t xml:space="preserve"> </w:t>
      </w:r>
      <w:proofErr w:type="spellStart"/>
      <w:r w:rsidRPr="008E33FB">
        <w:rPr>
          <w:i/>
          <w:iCs/>
          <w:spacing w:val="-3"/>
        </w:rPr>
        <w:t>delationis</w:t>
      </w:r>
      <w:proofErr w:type="spellEnd"/>
      <w:r w:rsidRPr="008E33FB">
        <w:rPr>
          <w:spacing w:val="-3"/>
        </w:rPr>
        <w:t xml:space="preserve">, el cual le faculta </w:t>
      </w:r>
      <w:r w:rsidR="001C402D">
        <w:rPr>
          <w:spacing w:val="-3"/>
        </w:rPr>
        <w:t>para</w:t>
      </w:r>
      <w:r w:rsidRPr="008E33FB">
        <w:rPr>
          <w:spacing w:val="-3"/>
        </w:rPr>
        <w:t xml:space="preserve"> aceptar o repudiar la herencia a la que es llamado.</w:t>
      </w:r>
    </w:p>
    <w:p w14:paraId="274BE2BD" w14:textId="0029CABD" w:rsidR="000D2519" w:rsidRPr="008E33FB" w:rsidRDefault="0004691B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 xml:space="preserve">Durante la delación, la herencia está </w:t>
      </w:r>
      <w:r w:rsidRPr="008E33FB">
        <w:rPr>
          <w:i/>
          <w:iCs/>
          <w:spacing w:val="-3"/>
        </w:rPr>
        <w:t>yacente</w:t>
      </w:r>
      <w:r w:rsidR="000D2519" w:rsidRPr="008E33FB">
        <w:rPr>
          <w:spacing w:val="-3"/>
        </w:rPr>
        <w:t>.</w:t>
      </w:r>
    </w:p>
    <w:p w14:paraId="39A051ED" w14:textId="47F7CB1D" w:rsidR="000D2519" w:rsidRPr="008E33FB" w:rsidRDefault="000D2519" w:rsidP="008E33F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33FB">
        <w:rPr>
          <w:spacing w:val="-3"/>
        </w:rPr>
        <w:t>La cuarta fase es la aceptación o repudiación de la herencia. Con la aceptación, el llamado se convierte en heredero y, por tanto, en sucesor a título universal</w:t>
      </w:r>
      <w:r w:rsidR="004A46A4" w:rsidRPr="008E33FB">
        <w:rPr>
          <w:spacing w:val="-3"/>
        </w:rPr>
        <w:t xml:space="preserve"> </w:t>
      </w:r>
      <w:r w:rsidRPr="008E33FB">
        <w:rPr>
          <w:spacing w:val="-3"/>
        </w:rPr>
        <w:t>el causante, adquiere todos sus bienes y derechos que no se hayan extinguido por</w:t>
      </w:r>
      <w:r w:rsidR="004A00A9" w:rsidRPr="008E33FB">
        <w:rPr>
          <w:spacing w:val="-3"/>
        </w:rPr>
        <w:t xml:space="preserve"> </w:t>
      </w:r>
      <w:r w:rsidRPr="008E33FB">
        <w:rPr>
          <w:spacing w:val="-3"/>
        </w:rPr>
        <w:t>la muerte y responde de todas sus deudas</w:t>
      </w:r>
      <w:r w:rsidR="004A00A9" w:rsidRPr="008E33FB">
        <w:rPr>
          <w:spacing w:val="-3"/>
        </w:rPr>
        <w:t>, tanto</w:t>
      </w:r>
      <w:r w:rsidRPr="008E33FB">
        <w:rPr>
          <w:spacing w:val="-3"/>
        </w:rPr>
        <w:t xml:space="preserve"> con los bienes here</w:t>
      </w:r>
      <w:r w:rsidR="004A00A9" w:rsidRPr="008E33FB">
        <w:rPr>
          <w:spacing w:val="-3"/>
        </w:rPr>
        <w:t>ditarios como con</w:t>
      </w:r>
      <w:r w:rsidRPr="008E33FB">
        <w:rPr>
          <w:spacing w:val="-3"/>
        </w:rPr>
        <w:t xml:space="preserve"> los suyos</w:t>
      </w:r>
      <w:r w:rsidR="004A00A9" w:rsidRPr="008E33FB">
        <w:rPr>
          <w:spacing w:val="-3"/>
        </w:rPr>
        <w:t xml:space="preserve"> </w:t>
      </w:r>
      <w:r w:rsidRPr="008E33FB">
        <w:rPr>
          <w:spacing w:val="-3"/>
        </w:rPr>
        <w:t>propios, si ha aceptado pura y simplemente</w:t>
      </w:r>
      <w:r w:rsidR="004A00A9" w:rsidRPr="008E33FB">
        <w:rPr>
          <w:spacing w:val="-3"/>
        </w:rPr>
        <w:t>,</w:t>
      </w:r>
      <w:r w:rsidRPr="008E33FB">
        <w:rPr>
          <w:spacing w:val="-3"/>
        </w:rPr>
        <w:t xml:space="preserve"> o </w:t>
      </w:r>
      <w:r w:rsidR="004A00A9" w:rsidRPr="008E33FB">
        <w:rPr>
          <w:spacing w:val="-3"/>
        </w:rPr>
        <w:t xml:space="preserve">tan </w:t>
      </w:r>
      <w:r w:rsidRPr="008E33FB">
        <w:rPr>
          <w:spacing w:val="-3"/>
        </w:rPr>
        <w:t xml:space="preserve">sólo con los bienes </w:t>
      </w:r>
      <w:r w:rsidR="004A00A9" w:rsidRPr="008E33FB">
        <w:rPr>
          <w:spacing w:val="-3"/>
        </w:rPr>
        <w:t>hereditarios</w:t>
      </w:r>
      <w:r w:rsidRPr="008E33FB">
        <w:rPr>
          <w:spacing w:val="-3"/>
        </w:rPr>
        <w:t>,</w:t>
      </w:r>
      <w:r w:rsidR="004A00A9" w:rsidRPr="008E33FB">
        <w:rPr>
          <w:spacing w:val="-3"/>
        </w:rPr>
        <w:t xml:space="preserve"> </w:t>
      </w:r>
      <w:r w:rsidRPr="008E33FB">
        <w:rPr>
          <w:spacing w:val="-3"/>
        </w:rPr>
        <w:t>si lo ha hecho a beneficio de inventario. Si repudia la herencia, se entiende que</w:t>
      </w:r>
      <w:r w:rsidR="004A00A9" w:rsidRPr="008E33FB">
        <w:rPr>
          <w:spacing w:val="-3"/>
        </w:rPr>
        <w:t xml:space="preserve"> </w:t>
      </w:r>
      <w:r w:rsidRPr="008E33FB">
        <w:rPr>
          <w:spacing w:val="-3"/>
        </w:rPr>
        <w:t xml:space="preserve">nunca ha sido heredero y el </w:t>
      </w:r>
      <w:r w:rsidRPr="008E33FB">
        <w:rPr>
          <w:i/>
          <w:iCs/>
          <w:spacing w:val="-3"/>
        </w:rPr>
        <w:t xml:space="preserve">ius </w:t>
      </w:r>
      <w:proofErr w:type="spellStart"/>
      <w:r w:rsidRPr="008E33FB">
        <w:rPr>
          <w:i/>
          <w:iCs/>
          <w:spacing w:val="-3"/>
        </w:rPr>
        <w:t>delationis</w:t>
      </w:r>
      <w:proofErr w:type="spellEnd"/>
      <w:r w:rsidRPr="008E33FB">
        <w:rPr>
          <w:spacing w:val="-3"/>
        </w:rPr>
        <w:t xml:space="preserve"> se ofrece al llamado que corresponda.</w:t>
      </w:r>
    </w:p>
    <w:p w14:paraId="0D59CB6F" w14:textId="77777777" w:rsidR="001534E5" w:rsidRPr="008E33FB" w:rsidRDefault="000D2519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>Si se acepta la herencia</w:t>
      </w:r>
      <w:r w:rsidR="003F3E6C" w:rsidRPr="008E33FB">
        <w:rPr>
          <w:spacing w:val="-3"/>
        </w:rPr>
        <w:t xml:space="preserve">, está queda </w:t>
      </w:r>
      <w:proofErr w:type="spellStart"/>
      <w:r w:rsidR="003F3E6C" w:rsidRPr="008E33FB">
        <w:rPr>
          <w:i/>
          <w:iCs/>
          <w:spacing w:val="-3"/>
        </w:rPr>
        <w:t>adida</w:t>
      </w:r>
      <w:proofErr w:type="spellEnd"/>
      <w:r w:rsidR="003F3E6C" w:rsidRPr="008E33FB">
        <w:rPr>
          <w:spacing w:val="-3"/>
        </w:rPr>
        <w:t>,</w:t>
      </w:r>
      <w:r w:rsidRPr="008E33FB">
        <w:rPr>
          <w:spacing w:val="-3"/>
        </w:rPr>
        <w:t xml:space="preserve"> y </w:t>
      </w:r>
      <w:r w:rsidR="003F3E6C" w:rsidRPr="008E33FB">
        <w:rPr>
          <w:spacing w:val="-3"/>
        </w:rPr>
        <w:t xml:space="preserve">entonces, si </w:t>
      </w:r>
      <w:r w:rsidRPr="008E33FB">
        <w:rPr>
          <w:spacing w:val="-3"/>
        </w:rPr>
        <w:t xml:space="preserve">hay más de un heredero y más de un bien, se constituye </w:t>
      </w:r>
      <w:proofErr w:type="spellStart"/>
      <w:r w:rsidRPr="008E33FB">
        <w:rPr>
          <w:i/>
          <w:iCs/>
          <w:spacing w:val="-3"/>
        </w:rPr>
        <w:t>ope</w:t>
      </w:r>
      <w:proofErr w:type="spellEnd"/>
      <w:r w:rsidRPr="008E33FB">
        <w:rPr>
          <w:i/>
          <w:iCs/>
          <w:spacing w:val="-3"/>
        </w:rPr>
        <w:t xml:space="preserve"> </w:t>
      </w:r>
      <w:proofErr w:type="spellStart"/>
      <w:r w:rsidRPr="008E33FB">
        <w:rPr>
          <w:i/>
          <w:iCs/>
          <w:spacing w:val="-3"/>
        </w:rPr>
        <w:t>legis</w:t>
      </w:r>
      <w:proofErr w:type="spellEnd"/>
      <w:r w:rsidRPr="008E33FB">
        <w:rPr>
          <w:spacing w:val="-3"/>
        </w:rPr>
        <w:t xml:space="preserve"> </w:t>
      </w:r>
      <w:r w:rsidR="003F3E6C" w:rsidRPr="008E33FB">
        <w:rPr>
          <w:spacing w:val="-3"/>
        </w:rPr>
        <w:t xml:space="preserve">la </w:t>
      </w:r>
      <w:r w:rsidRPr="008E33FB">
        <w:rPr>
          <w:spacing w:val="-3"/>
        </w:rPr>
        <w:t>comunidad hereditaria, que</w:t>
      </w:r>
      <w:r w:rsidR="003F3E6C" w:rsidRPr="008E33FB">
        <w:rPr>
          <w:spacing w:val="-3"/>
        </w:rPr>
        <w:t xml:space="preserve"> </w:t>
      </w:r>
      <w:r w:rsidRPr="008E33FB">
        <w:rPr>
          <w:spacing w:val="-3"/>
        </w:rPr>
        <w:t xml:space="preserve">es una comunidad </w:t>
      </w:r>
      <w:r w:rsidR="003F3E6C" w:rsidRPr="008E33FB">
        <w:rPr>
          <w:spacing w:val="-3"/>
        </w:rPr>
        <w:t xml:space="preserve">romana </w:t>
      </w:r>
      <w:r w:rsidRPr="008E33FB">
        <w:rPr>
          <w:spacing w:val="-3"/>
        </w:rPr>
        <w:t>por cuota</w:t>
      </w:r>
      <w:r w:rsidR="003F3E6C" w:rsidRPr="008E33FB">
        <w:rPr>
          <w:spacing w:val="-3"/>
        </w:rPr>
        <w:t>s</w:t>
      </w:r>
      <w:r w:rsidRPr="008E33FB">
        <w:rPr>
          <w:spacing w:val="-3"/>
        </w:rPr>
        <w:t xml:space="preserve"> pero sobre todo el patrimonio hereditario, no sobre</w:t>
      </w:r>
      <w:r w:rsidR="003F3E6C" w:rsidRPr="008E33FB">
        <w:rPr>
          <w:spacing w:val="-3"/>
        </w:rPr>
        <w:t xml:space="preserve"> </w:t>
      </w:r>
      <w:r w:rsidRPr="008E33FB">
        <w:rPr>
          <w:spacing w:val="-3"/>
        </w:rPr>
        <w:t>cada uno de los bienes concretos</w:t>
      </w:r>
      <w:r w:rsidR="001534E5" w:rsidRPr="008E33FB">
        <w:rPr>
          <w:spacing w:val="-3"/>
        </w:rPr>
        <w:t xml:space="preserve">, y que mientras perdura hace que la herencia quede </w:t>
      </w:r>
      <w:r w:rsidR="001534E5" w:rsidRPr="008E33FB">
        <w:rPr>
          <w:i/>
          <w:iCs/>
          <w:spacing w:val="-3"/>
        </w:rPr>
        <w:t>indivisa</w:t>
      </w:r>
      <w:r w:rsidR="001534E5" w:rsidRPr="008E33FB">
        <w:rPr>
          <w:spacing w:val="-3"/>
        </w:rPr>
        <w:t>.</w:t>
      </w:r>
    </w:p>
    <w:p w14:paraId="0B33EAF7" w14:textId="36C1C3DE" w:rsidR="00210CFB" w:rsidRPr="008E33FB" w:rsidRDefault="000D2519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>A la situación de indivisión se pone fin, normalmente, mediante la partición y entrega de los bienes adjudicados a cada heredero</w:t>
      </w:r>
      <w:r w:rsidR="00D966B4" w:rsidRPr="008E33FB">
        <w:rPr>
          <w:spacing w:val="-3"/>
        </w:rPr>
        <w:t xml:space="preserve">, quedando entonces la herencia </w:t>
      </w:r>
      <w:r w:rsidR="00D966B4" w:rsidRPr="008E33FB">
        <w:rPr>
          <w:i/>
          <w:iCs/>
          <w:spacing w:val="-3"/>
        </w:rPr>
        <w:t>dividida</w:t>
      </w:r>
      <w:r w:rsidRPr="008E33FB">
        <w:rPr>
          <w:spacing w:val="-3"/>
        </w:rPr>
        <w:t>.</w:t>
      </w:r>
    </w:p>
    <w:p w14:paraId="4283DFE9" w14:textId="034102F0" w:rsidR="00D966B4" w:rsidRPr="008E33FB" w:rsidRDefault="00D966B4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 xml:space="preserve">Finalmente, si no existen llamados </w:t>
      </w:r>
      <w:r w:rsidR="008555C9" w:rsidRPr="008E33FB">
        <w:rPr>
          <w:spacing w:val="-3"/>
        </w:rPr>
        <w:t xml:space="preserve">a la herencia </w:t>
      </w:r>
      <w:r w:rsidRPr="008E33FB">
        <w:rPr>
          <w:spacing w:val="-3"/>
        </w:rPr>
        <w:t xml:space="preserve">o todos ellos la repudian, </w:t>
      </w:r>
      <w:r w:rsidR="008555C9" w:rsidRPr="008E33FB">
        <w:rPr>
          <w:spacing w:val="-3"/>
        </w:rPr>
        <w:t xml:space="preserve">la herencia queda </w:t>
      </w:r>
      <w:r w:rsidR="008555C9" w:rsidRPr="008E33FB">
        <w:rPr>
          <w:i/>
          <w:iCs/>
          <w:spacing w:val="-3"/>
        </w:rPr>
        <w:t>vacante</w:t>
      </w:r>
      <w:r w:rsidR="008555C9" w:rsidRPr="008E33FB">
        <w:rPr>
          <w:spacing w:val="-3"/>
        </w:rPr>
        <w:t>, sucediendo el Estado o la Comunidad Autónoma correspondiente, según los casos.</w:t>
      </w:r>
    </w:p>
    <w:p w14:paraId="666AE0A2" w14:textId="1B8D6821" w:rsidR="00CF563E" w:rsidRDefault="00DE008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Estas fases se estudian detenidamente en los dos siguientes temas de esta misma parte del programa.</w:t>
      </w:r>
    </w:p>
    <w:p w14:paraId="6C8B2E03" w14:textId="32711E6E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8A926D2" w14:textId="4C431D5B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5CA0872" w14:textId="72B2D5D4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1C20CBE" w14:textId="1C6FB010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3C223E4" w14:textId="49E79FA5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5E45129" w14:textId="330A7207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2C5521B" w14:textId="56EBAE4C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A8A874E" w14:textId="77777777" w:rsidR="00CF563E" w:rsidRPr="0027217B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AEDEC20" w:rsidR="005726E8" w:rsidRPr="00FF4CC7" w:rsidRDefault="007C5B8F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 de septiembre de 2024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92229" w14:textId="77777777" w:rsidR="00A11A2A" w:rsidRDefault="00A11A2A" w:rsidP="00DB250B">
      <w:r>
        <w:separator/>
      </w:r>
    </w:p>
  </w:endnote>
  <w:endnote w:type="continuationSeparator" w:id="0">
    <w:p w14:paraId="7D9C2274" w14:textId="77777777" w:rsidR="00A11A2A" w:rsidRDefault="00A11A2A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Content>
      <w:p w14:paraId="51CFEA51" w14:textId="7E9A2E6A" w:rsidR="001E237F" w:rsidRDefault="001E237F" w:rsidP="0097685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8C979" w14:textId="77777777" w:rsidR="00A11A2A" w:rsidRDefault="00A11A2A" w:rsidP="00DB250B">
      <w:r>
        <w:separator/>
      </w:r>
    </w:p>
  </w:footnote>
  <w:footnote w:type="continuationSeparator" w:id="0">
    <w:p w14:paraId="03D46B37" w14:textId="77777777" w:rsidR="00A11A2A" w:rsidRDefault="00A11A2A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61D5EB8B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067F7"/>
    <w:multiLevelType w:val="hybridMultilevel"/>
    <w:tmpl w:val="9A1251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1377BE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8070DC"/>
    <w:multiLevelType w:val="hybridMultilevel"/>
    <w:tmpl w:val="E5382F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83D37AC"/>
    <w:multiLevelType w:val="hybridMultilevel"/>
    <w:tmpl w:val="E2A67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7D1A1C"/>
    <w:multiLevelType w:val="hybridMultilevel"/>
    <w:tmpl w:val="90C66E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B857C62"/>
    <w:multiLevelType w:val="hybridMultilevel"/>
    <w:tmpl w:val="3F02B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F8271CC"/>
    <w:multiLevelType w:val="hybridMultilevel"/>
    <w:tmpl w:val="C922DA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5F0274"/>
    <w:multiLevelType w:val="hybridMultilevel"/>
    <w:tmpl w:val="886E88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9222BCC"/>
    <w:multiLevelType w:val="hybridMultilevel"/>
    <w:tmpl w:val="C97E64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0030D92"/>
    <w:multiLevelType w:val="hybridMultilevel"/>
    <w:tmpl w:val="ACCEFE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22F75F8"/>
    <w:multiLevelType w:val="hybridMultilevel"/>
    <w:tmpl w:val="07742E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8524E0F"/>
    <w:multiLevelType w:val="hybridMultilevel"/>
    <w:tmpl w:val="BB4030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9C33574"/>
    <w:multiLevelType w:val="hybridMultilevel"/>
    <w:tmpl w:val="B8A62F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B16003C"/>
    <w:multiLevelType w:val="hybridMultilevel"/>
    <w:tmpl w:val="6742AF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C8F7075"/>
    <w:multiLevelType w:val="hybridMultilevel"/>
    <w:tmpl w:val="14881F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2805806"/>
    <w:multiLevelType w:val="hybridMultilevel"/>
    <w:tmpl w:val="3E36ED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6BA17B3"/>
    <w:multiLevelType w:val="hybridMultilevel"/>
    <w:tmpl w:val="CAE68D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6FE53FD"/>
    <w:multiLevelType w:val="hybridMultilevel"/>
    <w:tmpl w:val="A0EAB1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AE04264"/>
    <w:multiLevelType w:val="hybridMultilevel"/>
    <w:tmpl w:val="650256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1816A9"/>
    <w:multiLevelType w:val="hybridMultilevel"/>
    <w:tmpl w:val="141CCE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3C873CC"/>
    <w:multiLevelType w:val="multilevel"/>
    <w:tmpl w:val="B7085B2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69728AF"/>
    <w:multiLevelType w:val="hybridMultilevel"/>
    <w:tmpl w:val="073AA71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58B84523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7975AD"/>
    <w:multiLevelType w:val="hybridMultilevel"/>
    <w:tmpl w:val="59FC8B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EF527DC"/>
    <w:multiLevelType w:val="hybridMultilevel"/>
    <w:tmpl w:val="B7085B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6DC4DE9"/>
    <w:multiLevelType w:val="hybridMultilevel"/>
    <w:tmpl w:val="4B28CA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97E5F49"/>
    <w:multiLevelType w:val="hybridMultilevel"/>
    <w:tmpl w:val="81C27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99E0F11"/>
    <w:multiLevelType w:val="hybridMultilevel"/>
    <w:tmpl w:val="78723D1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AF46F82"/>
    <w:multiLevelType w:val="hybridMultilevel"/>
    <w:tmpl w:val="52B2FE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E714299"/>
    <w:multiLevelType w:val="hybridMultilevel"/>
    <w:tmpl w:val="6C103C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A60502"/>
    <w:multiLevelType w:val="hybridMultilevel"/>
    <w:tmpl w:val="807EE6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341736310">
    <w:abstractNumId w:val="0"/>
  </w:num>
  <w:num w:numId="2" w16cid:durableId="1933778876">
    <w:abstractNumId w:val="29"/>
  </w:num>
  <w:num w:numId="3" w16cid:durableId="123617500">
    <w:abstractNumId w:val="5"/>
  </w:num>
  <w:num w:numId="4" w16cid:durableId="716976577">
    <w:abstractNumId w:val="14"/>
  </w:num>
  <w:num w:numId="5" w16cid:durableId="1543857940">
    <w:abstractNumId w:val="31"/>
  </w:num>
  <w:num w:numId="6" w16cid:durableId="1609002771">
    <w:abstractNumId w:val="26"/>
  </w:num>
  <w:num w:numId="7" w16cid:durableId="1806197045">
    <w:abstractNumId w:val="30"/>
  </w:num>
  <w:num w:numId="8" w16cid:durableId="1401248327">
    <w:abstractNumId w:val="27"/>
  </w:num>
  <w:num w:numId="9" w16cid:durableId="206071076">
    <w:abstractNumId w:val="28"/>
  </w:num>
  <w:num w:numId="10" w16cid:durableId="1869835004">
    <w:abstractNumId w:val="8"/>
  </w:num>
  <w:num w:numId="11" w16cid:durableId="1537238343">
    <w:abstractNumId w:val="3"/>
  </w:num>
  <w:num w:numId="12" w16cid:durableId="171839593">
    <w:abstractNumId w:val="16"/>
  </w:num>
  <w:num w:numId="13" w16cid:durableId="1533687515">
    <w:abstractNumId w:val="18"/>
  </w:num>
  <w:num w:numId="14" w16cid:durableId="1845778775">
    <w:abstractNumId w:val="10"/>
  </w:num>
  <w:num w:numId="15" w16cid:durableId="2033529437">
    <w:abstractNumId w:val="15"/>
  </w:num>
  <w:num w:numId="16" w16cid:durableId="198712649">
    <w:abstractNumId w:val="1"/>
  </w:num>
  <w:num w:numId="17" w16cid:durableId="1427534479">
    <w:abstractNumId w:val="11"/>
  </w:num>
  <w:num w:numId="18" w16cid:durableId="2043285020">
    <w:abstractNumId w:val="6"/>
  </w:num>
  <w:num w:numId="19" w16cid:durableId="1499267429">
    <w:abstractNumId w:val="13"/>
  </w:num>
  <w:num w:numId="20" w16cid:durableId="1054237786">
    <w:abstractNumId w:val="17"/>
  </w:num>
  <w:num w:numId="21" w16cid:durableId="1324430280">
    <w:abstractNumId w:val="12"/>
  </w:num>
  <w:num w:numId="22" w16cid:durableId="594241436">
    <w:abstractNumId w:val="24"/>
  </w:num>
  <w:num w:numId="23" w16cid:durableId="575362845">
    <w:abstractNumId w:val="20"/>
  </w:num>
  <w:num w:numId="24" w16cid:durableId="142623614">
    <w:abstractNumId w:val="7"/>
  </w:num>
  <w:num w:numId="25" w16cid:durableId="2052729901">
    <w:abstractNumId w:val="4"/>
  </w:num>
  <w:num w:numId="26" w16cid:durableId="1734356075">
    <w:abstractNumId w:val="23"/>
  </w:num>
  <w:num w:numId="27" w16cid:durableId="278032446">
    <w:abstractNumId w:val="25"/>
  </w:num>
  <w:num w:numId="28" w16cid:durableId="950357470">
    <w:abstractNumId w:val="21"/>
  </w:num>
  <w:num w:numId="29" w16cid:durableId="1862356119">
    <w:abstractNumId w:val="2"/>
  </w:num>
  <w:num w:numId="30" w16cid:durableId="1100831016">
    <w:abstractNumId w:val="19"/>
  </w:num>
  <w:num w:numId="31" w16cid:durableId="2099014890">
    <w:abstractNumId w:val="9"/>
  </w:num>
  <w:num w:numId="32" w16cid:durableId="86949631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0CC7"/>
    <w:rsid w:val="000314B9"/>
    <w:rsid w:val="00031A3A"/>
    <w:rsid w:val="00031F05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F8F"/>
    <w:rsid w:val="000372C8"/>
    <w:rsid w:val="0003754E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944"/>
    <w:rsid w:val="0004457B"/>
    <w:rsid w:val="0004463E"/>
    <w:rsid w:val="00044DC9"/>
    <w:rsid w:val="0004529D"/>
    <w:rsid w:val="00045654"/>
    <w:rsid w:val="000463C7"/>
    <w:rsid w:val="0004649E"/>
    <w:rsid w:val="000466BB"/>
    <w:rsid w:val="000468AF"/>
    <w:rsid w:val="0004691B"/>
    <w:rsid w:val="00046B26"/>
    <w:rsid w:val="000474D2"/>
    <w:rsid w:val="00047C1B"/>
    <w:rsid w:val="00050184"/>
    <w:rsid w:val="000501D7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B52"/>
    <w:rsid w:val="00060D39"/>
    <w:rsid w:val="000611A1"/>
    <w:rsid w:val="0006125A"/>
    <w:rsid w:val="0006135E"/>
    <w:rsid w:val="000619B9"/>
    <w:rsid w:val="00061BD0"/>
    <w:rsid w:val="00061C67"/>
    <w:rsid w:val="00062141"/>
    <w:rsid w:val="000625ED"/>
    <w:rsid w:val="00062762"/>
    <w:rsid w:val="00062CE1"/>
    <w:rsid w:val="00063216"/>
    <w:rsid w:val="0006349D"/>
    <w:rsid w:val="00064339"/>
    <w:rsid w:val="000650F5"/>
    <w:rsid w:val="0006520A"/>
    <w:rsid w:val="00065417"/>
    <w:rsid w:val="000659A4"/>
    <w:rsid w:val="00065DCA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EEB"/>
    <w:rsid w:val="00081848"/>
    <w:rsid w:val="00081973"/>
    <w:rsid w:val="00082AC5"/>
    <w:rsid w:val="00083576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601B"/>
    <w:rsid w:val="000962AA"/>
    <w:rsid w:val="00096303"/>
    <w:rsid w:val="0009685D"/>
    <w:rsid w:val="000968BC"/>
    <w:rsid w:val="000968CB"/>
    <w:rsid w:val="00096B52"/>
    <w:rsid w:val="00096EF0"/>
    <w:rsid w:val="000A0274"/>
    <w:rsid w:val="000A06C8"/>
    <w:rsid w:val="000A071F"/>
    <w:rsid w:val="000A089F"/>
    <w:rsid w:val="000A15D4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D7E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9FB"/>
    <w:rsid w:val="000C5A32"/>
    <w:rsid w:val="000C5DF6"/>
    <w:rsid w:val="000C61BE"/>
    <w:rsid w:val="000C622E"/>
    <w:rsid w:val="000C6558"/>
    <w:rsid w:val="000C7391"/>
    <w:rsid w:val="000C73C4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C3"/>
    <w:rsid w:val="000D4D7B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F70"/>
    <w:rsid w:val="000E384C"/>
    <w:rsid w:val="000E3985"/>
    <w:rsid w:val="000E3A8D"/>
    <w:rsid w:val="000E41F0"/>
    <w:rsid w:val="000E4DAA"/>
    <w:rsid w:val="000E573D"/>
    <w:rsid w:val="000E5900"/>
    <w:rsid w:val="000E5B6D"/>
    <w:rsid w:val="000E62D4"/>
    <w:rsid w:val="000E67FE"/>
    <w:rsid w:val="000E79A2"/>
    <w:rsid w:val="000E7B75"/>
    <w:rsid w:val="000E7C0E"/>
    <w:rsid w:val="000F06AD"/>
    <w:rsid w:val="000F0956"/>
    <w:rsid w:val="000F0C22"/>
    <w:rsid w:val="000F1047"/>
    <w:rsid w:val="000F1051"/>
    <w:rsid w:val="000F3078"/>
    <w:rsid w:val="000F3222"/>
    <w:rsid w:val="000F32A2"/>
    <w:rsid w:val="000F3C03"/>
    <w:rsid w:val="000F40FF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9E5"/>
    <w:rsid w:val="00100B0C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56D3"/>
    <w:rsid w:val="00105CE4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3FD"/>
    <w:rsid w:val="001127A9"/>
    <w:rsid w:val="001131DF"/>
    <w:rsid w:val="001134AD"/>
    <w:rsid w:val="00113593"/>
    <w:rsid w:val="001141CE"/>
    <w:rsid w:val="001143C2"/>
    <w:rsid w:val="001153B2"/>
    <w:rsid w:val="00115A8C"/>
    <w:rsid w:val="00115C03"/>
    <w:rsid w:val="00115CC6"/>
    <w:rsid w:val="00115E94"/>
    <w:rsid w:val="0011650F"/>
    <w:rsid w:val="00116E61"/>
    <w:rsid w:val="00116EBB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32ED"/>
    <w:rsid w:val="00133C73"/>
    <w:rsid w:val="001344F9"/>
    <w:rsid w:val="00134B04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37E"/>
    <w:rsid w:val="00151817"/>
    <w:rsid w:val="00151A89"/>
    <w:rsid w:val="00151BAD"/>
    <w:rsid w:val="001521C6"/>
    <w:rsid w:val="00152A12"/>
    <w:rsid w:val="00152E37"/>
    <w:rsid w:val="001534E5"/>
    <w:rsid w:val="00153A8A"/>
    <w:rsid w:val="001544A9"/>
    <w:rsid w:val="00154E9D"/>
    <w:rsid w:val="00155DCD"/>
    <w:rsid w:val="00156A97"/>
    <w:rsid w:val="00157172"/>
    <w:rsid w:val="00157318"/>
    <w:rsid w:val="00157CBB"/>
    <w:rsid w:val="00157EFB"/>
    <w:rsid w:val="0016001B"/>
    <w:rsid w:val="001606EC"/>
    <w:rsid w:val="00160DD0"/>
    <w:rsid w:val="00160E8C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791"/>
    <w:rsid w:val="0017462B"/>
    <w:rsid w:val="00174F30"/>
    <w:rsid w:val="00175316"/>
    <w:rsid w:val="0017534C"/>
    <w:rsid w:val="00175BFD"/>
    <w:rsid w:val="00175D0F"/>
    <w:rsid w:val="0017610E"/>
    <w:rsid w:val="00176AC1"/>
    <w:rsid w:val="00176EEA"/>
    <w:rsid w:val="001772C5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7C5"/>
    <w:rsid w:val="00183C93"/>
    <w:rsid w:val="00183CD5"/>
    <w:rsid w:val="00184125"/>
    <w:rsid w:val="001850CB"/>
    <w:rsid w:val="001863BC"/>
    <w:rsid w:val="00186940"/>
    <w:rsid w:val="00186AD4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0DF"/>
    <w:rsid w:val="001942AE"/>
    <w:rsid w:val="001944FA"/>
    <w:rsid w:val="001946DF"/>
    <w:rsid w:val="001956A0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F53"/>
    <w:rsid w:val="001A17FF"/>
    <w:rsid w:val="001A1CAF"/>
    <w:rsid w:val="001A208B"/>
    <w:rsid w:val="001A22CC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64FA"/>
    <w:rsid w:val="001B6A70"/>
    <w:rsid w:val="001B6E43"/>
    <w:rsid w:val="001B71EB"/>
    <w:rsid w:val="001B7587"/>
    <w:rsid w:val="001B78AC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02D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528D"/>
    <w:rsid w:val="001D58B4"/>
    <w:rsid w:val="001D645F"/>
    <w:rsid w:val="001D6699"/>
    <w:rsid w:val="001D696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F0109"/>
    <w:rsid w:val="001F028A"/>
    <w:rsid w:val="001F0771"/>
    <w:rsid w:val="001F0A38"/>
    <w:rsid w:val="001F1291"/>
    <w:rsid w:val="001F280F"/>
    <w:rsid w:val="001F291C"/>
    <w:rsid w:val="001F3875"/>
    <w:rsid w:val="001F3F29"/>
    <w:rsid w:val="001F41B8"/>
    <w:rsid w:val="001F41F6"/>
    <w:rsid w:val="001F4724"/>
    <w:rsid w:val="001F4C91"/>
    <w:rsid w:val="001F4F91"/>
    <w:rsid w:val="001F5A05"/>
    <w:rsid w:val="001F68A8"/>
    <w:rsid w:val="001F6DA2"/>
    <w:rsid w:val="001F79CB"/>
    <w:rsid w:val="002003F8"/>
    <w:rsid w:val="00200892"/>
    <w:rsid w:val="00200A37"/>
    <w:rsid w:val="00200DD0"/>
    <w:rsid w:val="00200F53"/>
    <w:rsid w:val="002013A8"/>
    <w:rsid w:val="00201551"/>
    <w:rsid w:val="00201933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21C6"/>
    <w:rsid w:val="002129E2"/>
    <w:rsid w:val="00212B0F"/>
    <w:rsid w:val="00212D63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39FB"/>
    <w:rsid w:val="002242E5"/>
    <w:rsid w:val="00224403"/>
    <w:rsid w:val="002246B9"/>
    <w:rsid w:val="00224961"/>
    <w:rsid w:val="00224C53"/>
    <w:rsid w:val="00224CBB"/>
    <w:rsid w:val="00225A3D"/>
    <w:rsid w:val="002264E5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A17"/>
    <w:rsid w:val="00233CDF"/>
    <w:rsid w:val="00233D50"/>
    <w:rsid w:val="00234773"/>
    <w:rsid w:val="002358E0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FE2"/>
    <w:rsid w:val="002427A2"/>
    <w:rsid w:val="00242A80"/>
    <w:rsid w:val="00242C40"/>
    <w:rsid w:val="00243C6C"/>
    <w:rsid w:val="00243D3B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1D38"/>
    <w:rsid w:val="0025254D"/>
    <w:rsid w:val="00252908"/>
    <w:rsid w:val="00252B26"/>
    <w:rsid w:val="00252C98"/>
    <w:rsid w:val="00252CBC"/>
    <w:rsid w:val="0025309F"/>
    <w:rsid w:val="002534CB"/>
    <w:rsid w:val="002535EE"/>
    <w:rsid w:val="00254F3C"/>
    <w:rsid w:val="00256479"/>
    <w:rsid w:val="00256FF2"/>
    <w:rsid w:val="0025777D"/>
    <w:rsid w:val="00257814"/>
    <w:rsid w:val="00257951"/>
    <w:rsid w:val="00257B29"/>
    <w:rsid w:val="00257FF2"/>
    <w:rsid w:val="002601FF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70686"/>
    <w:rsid w:val="00270740"/>
    <w:rsid w:val="00271B60"/>
    <w:rsid w:val="00271C44"/>
    <w:rsid w:val="0027217B"/>
    <w:rsid w:val="002723AE"/>
    <w:rsid w:val="002737B0"/>
    <w:rsid w:val="002739AA"/>
    <w:rsid w:val="002740EB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CAE"/>
    <w:rsid w:val="0028145E"/>
    <w:rsid w:val="0028152B"/>
    <w:rsid w:val="00281F35"/>
    <w:rsid w:val="00281F44"/>
    <w:rsid w:val="002828C6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E5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4484"/>
    <w:rsid w:val="00295BA1"/>
    <w:rsid w:val="00296B5F"/>
    <w:rsid w:val="00297015"/>
    <w:rsid w:val="00297256"/>
    <w:rsid w:val="0029745D"/>
    <w:rsid w:val="002A0023"/>
    <w:rsid w:val="002A027E"/>
    <w:rsid w:val="002A0636"/>
    <w:rsid w:val="002A1F0F"/>
    <w:rsid w:val="002A244E"/>
    <w:rsid w:val="002A32D9"/>
    <w:rsid w:val="002A33A9"/>
    <w:rsid w:val="002A3BE4"/>
    <w:rsid w:val="002A4E34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C8E"/>
    <w:rsid w:val="002B5C3F"/>
    <w:rsid w:val="002B61AC"/>
    <w:rsid w:val="002B744F"/>
    <w:rsid w:val="002B751A"/>
    <w:rsid w:val="002C0CFD"/>
    <w:rsid w:val="002C15F8"/>
    <w:rsid w:val="002C19F5"/>
    <w:rsid w:val="002C2597"/>
    <w:rsid w:val="002C26DA"/>
    <w:rsid w:val="002C32A9"/>
    <w:rsid w:val="002C3D02"/>
    <w:rsid w:val="002C3DBC"/>
    <w:rsid w:val="002C44A4"/>
    <w:rsid w:val="002C4515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A3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331D"/>
    <w:rsid w:val="002E34D4"/>
    <w:rsid w:val="002E485C"/>
    <w:rsid w:val="002E4DD7"/>
    <w:rsid w:val="002E50A8"/>
    <w:rsid w:val="002E5240"/>
    <w:rsid w:val="002E5F65"/>
    <w:rsid w:val="002E5F8E"/>
    <w:rsid w:val="002E5FE6"/>
    <w:rsid w:val="002E68F0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45"/>
    <w:rsid w:val="002F5B6A"/>
    <w:rsid w:val="002F72BE"/>
    <w:rsid w:val="002F74C5"/>
    <w:rsid w:val="002F79EA"/>
    <w:rsid w:val="002F7DD8"/>
    <w:rsid w:val="00300310"/>
    <w:rsid w:val="003016E6"/>
    <w:rsid w:val="003016F5"/>
    <w:rsid w:val="00301791"/>
    <w:rsid w:val="00301A6C"/>
    <w:rsid w:val="0030223B"/>
    <w:rsid w:val="003025D6"/>
    <w:rsid w:val="0030297D"/>
    <w:rsid w:val="00303113"/>
    <w:rsid w:val="00303363"/>
    <w:rsid w:val="00304750"/>
    <w:rsid w:val="00306084"/>
    <w:rsid w:val="00306640"/>
    <w:rsid w:val="003067AF"/>
    <w:rsid w:val="003068EA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5C9"/>
    <w:rsid w:val="0031386B"/>
    <w:rsid w:val="00313ACD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6748"/>
    <w:rsid w:val="003169D5"/>
    <w:rsid w:val="00317DCC"/>
    <w:rsid w:val="00317DF8"/>
    <w:rsid w:val="003205C9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0B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AC6"/>
    <w:rsid w:val="00340D99"/>
    <w:rsid w:val="003420C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3F6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969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790"/>
    <w:rsid w:val="003757F3"/>
    <w:rsid w:val="00376557"/>
    <w:rsid w:val="0037674A"/>
    <w:rsid w:val="00377089"/>
    <w:rsid w:val="003772F7"/>
    <w:rsid w:val="00377812"/>
    <w:rsid w:val="00377B20"/>
    <w:rsid w:val="00380021"/>
    <w:rsid w:val="0038009B"/>
    <w:rsid w:val="00380C30"/>
    <w:rsid w:val="00380FE3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90878"/>
    <w:rsid w:val="00391409"/>
    <w:rsid w:val="00392411"/>
    <w:rsid w:val="003925E1"/>
    <w:rsid w:val="003928C2"/>
    <w:rsid w:val="00392F13"/>
    <w:rsid w:val="00393574"/>
    <w:rsid w:val="00393C90"/>
    <w:rsid w:val="00393D2B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8C2"/>
    <w:rsid w:val="003A39A6"/>
    <w:rsid w:val="003A3DE6"/>
    <w:rsid w:val="003A4BEB"/>
    <w:rsid w:val="003A5608"/>
    <w:rsid w:val="003A564C"/>
    <w:rsid w:val="003A68DF"/>
    <w:rsid w:val="003A7270"/>
    <w:rsid w:val="003A7366"/>
    <w:rsid w:val="003B01B3"/>
    <w:rsid w:val="003B0D68"/>
    <w:rsid w:val="003B0E91"/>
    <w:rsid w:val="003B163C"/>
    <w:rsid w:val="003B1C83"/>
    <w:rsid w:val="003B24E3"/>
    <w:rsid w:val="003B26DC"/>
    <w:rsid w:val="003B3913"/>
    <w:rsid w:val="003B4893"/>
    <w:rsid w:val="003B4B49"/>
    <w:rsid w:val="003B5262"/>
    <w:rsid w:val="003B57EB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1B77"/>
    <w:rsid w:val="003C1C62"/>
    <w:rsid w:val="003C2380"/>
    <w:rsid w:val="003C27D4"/>
    <w:rsid w:val="003C28CA"/>
    <w:rsid w:val="003C28EE"/>
    <w:rsid w:val="003C296D"/>
    <w:rsid w:val="003C29CB"/>
    <w:rsid w:val="003C2ADD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CE2"/>
    <w:rsid w:val="003D1D47"/>
    <w:rsid w:val="003D2466"/>
    <w:rsid w:val="003D2BA7"/>
    <w:rsid w:val="003D2E02"/>
    <w:rsid w:val="003D32EB"/>
    <w:rsid w:val="003D32F5"/>
    <w:rsid w:val="003D36C4"/>
    <w:rsid w:val="003D4A34"/>
    <w:rsid w:val="003D4E7C"/>
    <w:rsid w:val="003D5442"/>
    <w:rsid w:val="003D6CF2"/>
    <w:rsid w:val="003D75F7"/>
    <w:rsid w:val="003D7897"/>
    <w:rsid w:val="003E003D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9"/>
    <w:rsid w:val="003E7D5F"/>
    <w:rsid w:val="003F04A7"/>
    <w:rsid w:val="003F0892"/>
    <w:rsid w:val="003F0BF3"/>
    <w:rsid w:val="003F13B3"/>
    <w:rsid w:val="003F181B"/>
    <w:rsid w:val="003F2162"/>
    <w:rsid w:val="003F23DE"/>
    <w:rsid w:val="003F2746"/>
    <w:rsid w:val="003F28F3"/>
    <w:rsid w:val="003F2BB5"/>
    <w:rsid w:val="003F2D52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998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2F76"/>
    <w:rsid w:val="0040334A"/>
    <w:rsid w:val="00404247"/>
    <w:rsid w:val="0040464E"/>
    <w:rsid w:val="00404F6B"/>
    <w:rsid w:val="00406C8D"/>
    <w:rsid w:val="00406CD0"/>
    <w:rsid w:val="00406E0C"/>
    <w:rsid w:val="00407532"/>
    <w:rsid w:val="00407ED4"/>
    <w:rsid w:val="004106D5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7FE"/>
    <w:rsid w:val="00420BE1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C09"/>
    <w:rsid w:val="00423C31"/>
    <w:rsid w:val="004244B0"/>
    <w:rsid w:val="004246BA"/>
    <w:rsid w:val="00424AF1"/>
    <w:rsid w:val="00425DDE"/>
    <w:rsid w:val="00425FE6"/>
    <w:rsid w:val="004269C4"/>
    <w:rsid w:val="004269EB"/>
    <w:rsid w:val="00426FE9"/>
    <w:rsid w:val="00427299"/>
    <w:rsid w:val="00427565"/>
    <w:rsid w:val="0042780E"/>
    <w:rsid w:val="004279FA"/>
    <w:rsid w:val="00427D86"/>
    <w:rsid w:val="00430118"/>
    <w:rsid w:val="0043051E"/>
    <w:rsid w:val="0043125F"/>
    <w:rsid w:val="0043190D"/>
    <w:rsid w:val="00432B42"/>
    <w:rsid w:val="00433566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414"/>
    <w:rsid w:val="00441BA6"/>
    <w:rsid w:val="004421B9"/>
    <w:rsid w:val="00442261"/>
    <w:rsid w:val="00442C4B"/>
    <w:rsid w:val="00444477"/>
    <w:rsid w:val="0044497B"/>
    <w:rsid w:val="00444DC1"/>
    <w:rsid w:val="0044501F"/>
    <w:rsid w:val="0044585C"/>
    <w:rsid w:val="00445CF5"/>
    <w:rsid w:val="00446C00"/>
    <w:rsid w:val="00447409"/>
    <w:rsid w:val="004477C8"/>
    <w:rsid w:val="00447A94"/>
    <w:rsid w:val="00450AC6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F7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543A"/>
    <w:rsid w:val="004654BA"/>
    <w:rsid w:val="00465774"/>
    <w:rsid w:val="00466632"/>
    <w:rsid w:val="00467104"/>
    <w:rsid w:val="00467AC6"/>
    <w:rsid w:val="00467D56"/>
    <w:rsid w:val="004705DF"/>
    <w:rsid w:val="00470E86"/>
    <w:rsid w:val="00471101"/>
    <w:rsid w:val="0047136D"/>
    <w:rsid w:val="0047184B"/>
    <w:rsid w:val="00471FF0"/>
    <w:rsid w:val="00472960"/>
    <w:rsid w:val="0047392A"/>
    <w:rsid w:val="00473B84"/>
    <w:rsid w:val="00474161"/>
    <w:rsid w:val="0047447B"/>
    <w:rsid w:val="00474547"/>
    <w:rsid w:val="0047464C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F35"/>
    <w:rsid w:val="00490811"/>
    <w:rsid w:val="0049116C"/>
    <w:rsid w:val="00491662"/>
    <w:rsid w:val="0049177A"/>
    <w:rsid w:val="00492368"/>
    <w:rsid w:val="00492FA5"/>
    <w:rsid w:val="004939C8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B7D"/>
    <w:rsid w:val="004A0FE8"/>
    <w:rsid w:val="004A17B6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40C"/>
    <w:rsid w:val="004A456B"/>
    <w:rsid w:val="004A46A4"/>
    <w:rsid w:val="004A477C"/>
    <w:rsid w:val="004A48B1"/>
    <w:rsid w:val="004A490B"/>
    <w:rsid w:val="004A4D43"/>
    <w:rsid w:val="004A5042"/>
    <w:rsid w:val="004A5C17"/>
    <w:rsid w:val="004A646E"/>
    <w:rsid w:val="004A66A2"/>
    <w:rsid w:val="004A6930"/>
    <w:rsid w:val="004A6C24"/>
    <w:rsid w:val="004A6F7A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A8D"/>
    <w:rsid w:val="004C67ED"/>
    <w:rsid w:val="004C6A56"/>
    <w:rsid w:val="004C6A97"/>
    <w:rsid w:val="004C6F1C"/>
    <w:rsid w:val="004C7C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3FC5"/>
    <w:rsid w:val="004E4A1D"/>
    <w:rsid w:val="004E56DA"/>
    <w:rsid w:val="004E5893"/>
    <w:rsid w:val="004E5903"/>
    <w:rsid w:val="004E5C1C"/>
    <w:rsid w:val="004E5C4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E7"/>
    <w:rsid w:val="00501D48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636B"/>
    <w:rsid w:val="00506938"/>
    <w:rsid w:val="0050760A"/>
    <w:rsid w:val="0051050E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FB7"/>
    <w:rsid w:val="0051632F"/>
    <w:rsid w:val="005172CA"/>
    <w:rsid w:val="005176D9"/>
    <w:rsid w:val="005177FB"/>
    <w:rsid w:val="005178EE"/>
    <w:rsid w:val="005179E1"/>
    <w:rsid w:val="00520338"/>
    <w:rsid w:val="00520BAE"/>
    <w:rsid w:val="00520D5A"/>
    <w:rsid w:val="0052157E"/>
    <w:rsid w:val="0052174F"/>
    <w:rsid w:val="005229F8"/>
    <w:rsid w:val="00522A21"/>
    <w:rsid w:val="00522E1A"/>
    <w:rsid w:val="00522EFC"/>
    <w:rsid w:val="0052302F"/>
    <w:rsid w:val="005232CA"/>
    <w:rsid w:val="005232DD"/>
    <w:rsid w:val="00523C82"/>
    <w:rsid w:val="00524119"/>
    <w:rsid w:val="0052432C"/>
    <w:rsid w:val="005243C9"/>
    <w:rsid w:val="00525304"/>
    <w:rsid w:val="00526097"/>
    <w:rsid w:val="005265DB"/>
    <w:rsid w:val="005270A1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24BC"/>
    <w:rsid w:val="0054358F"/>
    <w:rsid w:val="005438AE"/>
    <w:rsid w:val="00543A58"/>
    <w:rsid w:val="00543CE4"/>
    <w:rsid w:val="005447DB"/>
    <w:rsid w:val="00544BD1"/>
    <w:rsid w:val="00544C8C"/>
    <w:rsid w:val="00545217"/>
    <w:rsid w:val="005453C5"/>
    <w:rsid w:val="00545E92"/>
    <w:rsid w:val="00546995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CBB"/>
    <w:rsid w:val="0055365D"/>
    <w:rsid w:val="0055422A"/>
    <w:rsid w:val="00554722"/>
    <w:rsid w:val="00556A68"/>
    <w:rsid w:val="00557554"/>
    <w:rsid w:val="00557F55"/>
    <w:rsid w:val="00560BBF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654"/>
    <w:rsid w:val="005656BB"/>
    <w:rsid w:val="0056590E"/>
    <w:rsid w:val="0056644B"/>
    <w:rsid w:val="005664D7"/>
    <w:rsid w:val="0056697E"/>
    <w:rsid w:val="00566A67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344F"/>
    <w:rsid w:val="00573FF7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3C7"/>
    <w:rsid w:val="00576731"/>
    <w:rsid w:val="0057690C"/>
    <w:rsid w:val="00576B87"/>
    <w:rsid w:val="00577F60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71A"/>
    <w:rsid w:val="00586D85"/>
    <w:rsid w:val="00587133"/>
    <w:rsid w:val="00590276"/>
    <w:rsid w:val="00590AC9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4F0"/>
    <w:rsid w:val="005A6681"/>
    <w:rsid w:val="005A6C90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4777"/>
    <w:rsid w:val="005B558B"/>
    <w:rsid w:val="005B5629"/>
    <w:rsid w:val="005B5C19"/>
    <w:rsid w:val="005B640C"/>
    <w:rsid w:val="005B6D4A"/>
    <w:rsid w:val="005B7316"/>
    <w:rsid w:val="005C1FE1"/>
    <w:rsid w:val="005C2833"/>
    <w:rsid w:val="005C29DC"/>
    <w:rsid w:val="005C386E"/>
    <w:rsid w:val="005C3A11"/>
    <w:rsid w:val="005C4739"/>
    <w:rsid w:val="005C4773"/>
    <w:rsid w:val="005C4A8F"/>
    <w:rsid w:val="005C5555"/>
    <w:rsid w:val="005C571C"/>
    <w:rsid w:val="005C5732"/>
    <w:rsid w:val="005C6191"/>
    <w:rsid w:val="005C67C6"/>
    <w:rsid w:val="005C77FA"/>
    <w:rsid w:val="005C7D9B"/>
    <w:rsid w:val="005D05A0"/>
    <w:rsid w:val="005D0742"/>
    <w:rsid w:val="005D2397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792"/>
    <w:rsid w:val="0060007B"/>
    <w:rsid w:val="00600AB7"/>
    <w:rsid w:val="00600AE6"/>
    <w:rsid w:val="00600D38"/>
    <w:rsid w:val="0060145B"/>
    <w:rsid w:val="00601C60"/>
    <w:rsid w:val="00601FFE"/>
    <w:rsid w:val="00602959"/>
    <w:rsid w:val="00602E87"/>
    <w:rsid w:val="006041A4"/>
    <w:rsid w:val="0060446C"/>
    <w:rsid w:val="006066B6"/>
    <w:rsid w:val="00606C43"/>
    <w:rsid w:val="00606FAE"/>
    <w:rsid w:val="00607091"/>
    <w:rsid w:val="00607483"/>
    <w:rsid w:val="006075C3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1C2"/>
    <w:rsid w:val="006222EC"/>
    <w:rsid w:val="0062250E"/>
    <w:rsid w:val="00622B47"/>
    <w:rsid w:val="00622E68"/>
    <w:rsid w:val="00622F3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F01"/>
    <w:rsid w:val="00626E15"/>
    <w:rsid w:val="006275E5"/>
    <w:rsid w:val="00627C4F"/>
    <w:rsid w:val="00627C7A"/>
    <w:rsid w:val="006302BC"/>
    <w:rsid w:val="00630585"/>
    <w:rsid w:val="00630719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3CE1"/>
    <w:rsid w:val="0063441F"/>
    <w:rsid w:val="006358F8"/>
    <w:rsid w:val="00635BEA"/>
    <w:rsid w:val="00635C76"/>
    <w:rsid w:val="00636A1E"/>
    <w:rsid w:val="00636D94"/>
    <w:rsid w:val="006378F0"/>
    <w:rsid w:val="00637F4E"/>
    <w:rsid w:val="00640683"/>
    <w:rsid w:val="0064122A"/>
    <w:rsid w:val="00641D0A"/>
    <w:rsid w:val="00641F5C"/>
    <w:rsid w:val="006420BF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503C6"/>
    <w:rsid w:val="00650771"/>
    <w:rsid w:val="0065089A"/>
    <w:rsid w:val="00650C36"/>
    <w:rsid w:val="00650FEA"/>
    <w:rsid w:val="00651806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5E9"/>
    <w:rsid w:val="006608CF"/>
    <w:rsid w:val="00661B73"/>
    <w:rsid w:val="00661C8D"/>
    <w:rsid w:val="00662190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A08"/>
    <w:rsid w:val="00676FC2"/>
    <w:rsid w:val="006771DB"/>
    <w:rsid w:val="0067747B"/>
    <w:rsid w:val="006776A7"/>
    <w:rsid w:val="006776AC"/>
    <w:rsid w:val="006779A5"/>
    <w:rsid w:val="00680341"/>
    <w:rsid w:val="0068105A"/>
    <w:rsid w:val="00681177"/>
    <w:rsid w:val="00681FD4"/>
    <w:rsid w:val="00682391"/>
    <w:rsid w:val="006827EE"/>
    <w:rsid w:val="00683C68"/>
    <w:rsid w:val="00683DFF"/>
    <w:rsid w:val="00683F08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4FD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5845"/>
    <w:rsid w:val="006A5E57"/>
    <w:rsid w:val="006A6430"/>
    <w:rsid w:val="006A6C59"/>
    <w:rsid w:val="006A773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577"/>
    <w:rsid w:val="006B66BB"/>
    <w:rsid w:val="006B6CE8"/>
    <w:rsid w:val="006B6F36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7279"/>
    <w:rsid w:val="006E7DD7"/>
    <w:rsid w:val="006F05BE"/>
    <w:rsid w:val="006F0922"/>
    <w:rsid w:val="006F0DE8"/>
    <w:rsid w:val="006F2882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D1F"/>
    <w:rsid w:val="0070724E"/>
    <w:rsid w:val="00707698"/>
    <w:rsid w:val="00707E0B"/>
    <w:rsid w:val="007101F4"/>
    <w:rsid w:val="00710B33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191"/>
    <w:rsid w:val="007142D5"/>
    <w:rsid w:val="00714524"/>
    <w:rsid w:val="0071457F"/>
    <w:rsid w:val="00714624"/>
    <w:rsid w:val="00714743"/>
    <w:rsid w:val="00714824"/>
    <w:rsid w:val="00714D71"/>
    <w:rsid w:val="00714F54"/>
    <w:rsid w:val="00715A81"/>
    <w:rsid w:val="0071604D"/>
    <w:rsid w:val="00716244"/>
    <w:rsid w:val="0071636C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E38"/>
    <w:rsid w:val="0072313B"/>
    <w:rsid w:val="007231E8"/>
    <w:rsid w:val="00724739"/>
    <w:rsid w:val="00724A09"/>
    <w:rsid w:val="00724BE3"/>
    <w:rsid w:val="00724E35"/>
    <w:rsid w:val="007251FF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84A"/>
    <w:rsid w:val="007339FC"/>
    <w:rsid w:val="00733ACA"/>
    <w:rsid w:val="00733D9D"/>
    <w:rsid w:val="00733F66"/>
    <w:rsid w:val="00733FB9"/>
    <w:rsid w:val="00734294"/>
    <w:rsid w:val="00734DF8"/>
    <w:rsid w:val="00735469"/>
    <w:rsid w:val="007354A1"/>
    <w:rsid w:val="007354CA"/>
    <w:rsid w:val="00735571"/>
    <w:rsid w:val="00736BFF"/>
    <w:rsid w:val="00737044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1E42"/>
    <w:rsid w:val="0075280B"/>
    <w:rsid w:val="00752BFF"/>
    <w:rsid w:val="00752C59"/>
    <w:rsid w:val="00753906"/>
    <w:rsid w:val="00753A73"/>
    <w:rsid w:val="00753B92"/>
    <w:rsid w:val="0075405B"/>
    <w:rsid w:val="0075425D"/>
    <w:rsid w:val="00754818"/>
    <w:rsid w:val="00754B09"/>
    <w:rsid w:val="0075522D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4DE"/>
    <w:rsid w:val="00763548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0F67"/>
    <w:rsid w:val="00781305"/>
    <w:rsid w:val="007815C2"/>
    <w:rsid w:val="00781843"/>
    <w:rsid w:val="0078202A"/>
    <w:rsid w:val="0078211B"/>
    <w:rsid w:val="00782ACB"/>
    <w:rsid w:val="00782F6F"/>
    <w:rsid w:val="00783006"/>
    <w:rsid w:val="0078318D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B3D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872"/>
    <w:rsid w:val="0079786C"/>
    <w:rsid w:val="007A0426"/>
    <w:rsid w:val="007A0473"/>
    <w:rsid w:val="007A05DF"/>
    <w:rsid w:val="007A10E9"/>
    <w:rsid w:val="007A125A"/>
    <w:rsid w:val="007A1794"/>
    <w:rsid w:val="007A260D"/>
    <w:rsid w:val="007A28B1"/>
    <w:rsid w:val="007A2949"/>
    <w:rsid w:val="007A353B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9F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5B8F"/>
    <w:rsid w:val="007C65A0"/>
    <w:rsid w:val="007C6AA7"/>
    <w:rsid w:val="007C6D67"/>
    <w:rsid w:val="007C6DB7"/>
    <w:rsid w:val="007C6EB9"/>
    <w:rsid w:val="007C7752"/>
    <w:rsid w:val="007D01A6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CE9"/>
    <w:rsid w:val="007D6E6D"/>
    <w:rsid w:val="007D71BC"/>
    <w:rsid w:val="007D7402"/>
    <w:rsid w:val="007D7A1C"/>
    <w:rsid w:val="007D7A2C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4E72"/>
    <w:rsid w:val="007E5D21"/>
    <w:rsid w:val="007E60E8"/>
    <w:rsid w:val="007E6EB2"/>
    <w:rsid w:val="007E780F"/>
    <w:rsid w:val="007F05A2"/>
    <w:rsid w:val="007F093E"/>
    <w:rsid w:val="007F1940"/>
    <w:rsid w:val="007F2EAE"/>
    <w:rsid w:val="007F35B9"/>
    <w:rsid w:val="007F3699"/>
    <w:rsid w:val="007F4059"/>
    <w:rsid w:val="007F4704"/>
    <w:rsid w:val="007F47FC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920"/>
    <w:rsid w:val="00810FEF"/>
    <w:rsid w:val="008112F5"/>
    <w:rsid w:val="008124CA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EFD"/>
    <w:rsid w:val="00821FA4"/>
    <w:rsid w:val="008226CB"/>
    <w:rsid w:val="00822740"/>
    <w:rsid w:val="00822C65"/>
    <w:rsid w:val="0082364F"/>
    <w:rsid w:val="00824968"/>
    <w:rsid w:val="008255F2"/>
    <w:rsid w:val="0082590B"/>
    <w:rsid w:val="00825D5B"/>
    <w:rsid w:val="00825E10"/>
    <w:rsid w:val="0082700E"/>
    <w:rsid w:val="00827480"/>
    <w:rsid w:val="0082785C"/>
    <w:rsid w:val="0083001C"/>
    <w:rsid w:val="00830D84"/>
    <w:rsid w:val="0083110A"/>
    <w:rsid w:val="00831D25"/>
    <w:rsid w:val="00831E7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A0B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51BE"/>
    <w:rsid w:val="00845605"/>
    <w:rsid w:val="00845B0E"/>
    <w:rsid w:val="00845BE0"/>
    <w:rsid w:val="00845EF1"/>
    <w:rsid w:val="0084658E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DEA"/>
    <w:rsid w:val="008524B8"/>
    <w:rsid w:val="008529D8"/>
    <w:rsid w:val="00852EC5"/>
    <w:rsid w:val="00852FA0"/>
    <w:rsid w:val="0085311A"/>
    <w:rsid w:val="00853367"/>
    <w:rsid w:val="00853623"/>
    <w:rsid w:val="008536E5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325"/>
    <w:rsid w:val="00863978"/>
    <w:rsid w:val="00863A17"/>
    <w:rsid w:val="00863B32"/>
    <w:rsid w:val="0086415C"/>
    <w:rsid w:val="00864276"/>
    <w:rsid w:val="00864C42"/>
    <w:rsid w:val="00865585"/>
    <w:rsid w:val="0086612E"/>
    <w:rsid w:val="008664D2"/>
    <w:rsid w:val="0086674E"/>
    <w:rsid w:val="00866BB5"/>
    <w:rsid w:val="00866D44"/>
    <w:rsid w:val="00867619"/>
    <w:rsid w:val="00870E92"/>
    <w:rsid w:val="0087101E"/>
    <w:rsid w:val="008711BB"/>
    <w:rsid w:val="00871F52"/>
    <w:rsid w:val="00872ED8"/>
    <w:rsid w:val="00873658"/>
    <w:rsid w:val="00875026"/>
    <w:rsid w:val="00875EF2"/>
    <w:rsid w:val="008764E0"/>
    <w:rsid w:val="0087739B"/>
    <w:rsid w:val="008776D1"/>
    <w:rsid w:val="0087783D"/>
    <w:rsid w:val="00877F99"/>
    <w:rsid w:val="00880321"/>
    <w:rsid w:val="00880A13"/>
    <w:rsid w:val="00880BC8"/>
    <w:rsid w:val="008811EB"/>
    <w:rsid w:val="00881708"/>
    <w:rsid w:val="00882861"/>
    <w:rsid w:val="00882981"/>
    <w:rsid w:val="00882B15"/>
    <w:rsid w:val="00882EAC"/>
    <w:rsid w:val="00884849"/>
    <w:rsid w:val="00884B46"/>
    <w:rsid w:val="00885F68"/>
    <w:rsid w:val="00886363"/>
    <w:rsid w:val="008865C7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755"/>
    <w:rsid w:val="00893A4D"/>
    <w:rsid w:val="00893ADB"/>
    <w:rsid w:val="00893C3B"/>
    <w:rsid w:val="00893F88"/>
    <w:rsid w:val="008942AA"/>
    <w:rsid w:val="008945F2"/>
    <w:rsid w:val="00894F21"/>
    <w:rsid w:val="008958DE"/>
    <w:rsid w:val="00896637"/>
    <w:rsid w:val="00896690"/>
    <w:rsid w:val="00896E22"/>
    <w:rsid w:val="00896F5A"/>
    <w:rsid w:val="00897202"/>
    <w:rsid w:val="008978E6"/>
    <w:rsid w:val="008979C5"/>
    <w:rsid w:val="00897D63"/>
    <w:rsid w:val="008A045F"/>
    <w:rsid w:val="008A13BF"/>
    <w:rsid w:val="008A1718"/>
    <w:rsid w:val="008A18E8"/>
    <w:rsid w:val="008A25A0"/>
    <w:rsid w:val="008A2DB2"/>
    <w:rsid w:val="008A2F9E"/>
    <w:rsid w:val="008A36E8"/>
    <w:rsid w:val="008A39AB"/>
    <w:rsid w:val="008A40EC"/>
    <w:rsid w:val="008A449E"/>
    <w:rsid w:val="008A45D7"/>
    <w:rsid w:val="008A48A0"/>
    <w:rsid w:val="008A4928"/>
    <w:rsid w:val="008A4E4C"/>
    <w:rsid w:val="008A543D"/>
    <w:rsid w:val="008A558D"/>
    <w:rsid w:val="008A61B3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00"/>
    <w:rsid w:val="008B26AD"/>
    <w:rsid w:val="008B28D7"/>
    <w:rsid w:val="008B341F"/>
    <w:rsid w:val="008B388A"/>
    <w:rsid w:val="008B44F4"/>
    <w:rsid w:val="008B45BF"/>
    <w:rsid w:val="008B5853"/>
    <w:rsid w:val="008B5B09"/>
    <w:rsid w:val="008B5D29"/>
    <w:rsid w:val="008B5EED"/>
    <w:rsid w:val="008B63C5"/>
    <w:rsid w:val="008B6AF8"/>
    <w:rsid w:val="008B7313"/>
    <w:rsid w:val="008B772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459"/>
    <w:rsid w:val="008C4563"/>
    <w:rsid w:val="008C4658"/>
    <w:rsid w:val="008C46CC"/>
    <w:rsid w:val="008C4E57"/>
    <w:rsid w:val="008C58FB"/>
    <w:rsid w:val="008C66C6"/>
    <w:rsid w:val="008C6AFB"/>
    <w:rsid w:val="008C7076"/>
    <w:rsid w:val="008C727A"/>
    <w:rsid w:val="008C72B9"/>
    <w:rsid w:val="008C772C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6AD8"/>
    <w:rsid w:val="008E751F"/>
    <w:rsid w:val="008E76AA"/>
    <w:rsid w:val="008E7BC3"/>
    <w:rsid w:val="008F1C1A"/>
    <w:rsid w:val="008F2269"/>
    <w:rsid w:val="008F3298"/>
    <w:rsid w:val="008F3BF1"/>
    <w:rsid w:val="008F4548"/>
    <w:rsid w:val="008F4D21"/>
    <w:rsid w:val="008F4DFC"/>
    <w:rsid w:val="008F519E"/>
    <w:rsid w:val="008F55F8"/>
    <w:rsid w:val="008F56B2"/>
    <w:rsid w:val="008F5EFD"/>
    <w:rsid w:val="008F643D"/>
    <w:rsid w:val="008F6773"/>
    <w:rsid w:val="008F6960"/>
    <w:rsid w:val="008F7DF2"/>
    <w:rsid w:val="0090069C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CD8"/>
    <w:rsid w:val="00911064"/>
    <w:rsid w:val="009116BB"/>
    <w:rsid w:val="00912E12"/>
    <w:rsid w:val="0091369D"/>
    <w:rsid w:val="00913948"/>
    <w:rsid w:val="00913B08"/>
    <w:rsid w:val="0091408C"/>
    <w:rsid w:val="00914363"/>
    <w:rsid w:val="00914F60"/>
    <w:rsid w:val="009152CD"/>
    <w:rsid w:val="0091563F"/>
    <w:rsid w:val="00917325"/>
    <w:rsid w:val="00917936"/>
    <w:rsid w:val="00917A98"/>
    <w:rsid w:val="00920183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27C0"/>
    <w:rsid w:val="00922C3F"/>
    <w:rsid w:val="00922C45"/>
    <w:rsid w:val="00922D3B"/>
    <w:rsid w:val="00923689"/>
    <w:rsid w:val="00923A2C"/>
    <w:rsid w:val="009242FF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30992"/>
    <w:rsid w:val="00930B08"/>
    <w:rsid w:val="00931041"/>
    <w:rsid w:val="00931062"/>
    <w:rsid w:val="009314E3"/>
    <w:rsid w:val="00931509"/>
    <w:rsid w:val="00932C6E"/>
    <w:rsid w:val="0093340A"/>
    <w:rsid w:val="0093351A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38B"/>
    <w:rsid w:val="009547B1"/>
    <w:rsid w:val="009558E6"/>
    <w:rsid w:val="00955F1A"/>
    <w:rsid w:val="00956421"/>
    <w:rsid w:val="00956EB9"/>
    <w:rsid w:val="009574ED"/>
    <w:rsid w:val="00957651"/>
    <w:rsid w:val="00957F1F"/>
    <w:rsid w:val="00960934"/>
    <w:rsid w:val="00960C31"/>
    <w:rsid w:val="00960FD2"/>
    <w:rsid w:val="00961AC6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6854"/>
    <w:rsid w:val="0097703A"/>
    <w:rsid w:val="00977274"/>
    <w:rsid w:val="009805A0"/>
    <w:rsid w:val="009806BA"/>
    <w:rsid w:val="009809DF"/>
    <w:rsid w:val="00980D83"/>
    <w:rsid w:val="00980EAA"/>
    <w:rsid w:val="00981276"/>
    <w:rsid w:val="00981399"/>
    <w:rsid w:val="0098166F"/>
    <w:rsid w:val="00981AB5"/>
    <w:rsid w:val="00981E7B"/>
    <w:rsid w:val="00981F03"/>
    <w:rsid w:val="00982113"/>
    <w:rsid w:val="0098262C"/>
    <w:rsid w:val="00982982"/>
    <w:rsid w:val="00982B91"/>
    <w:rsid w:val="009843A3"/>
    <w:rsid w:val="00985051"/>
    <w:rsid w:val="009852A0"/>
    <w:rsid w:val="00985A3D"/>
    <w:rsid w:val="00985BAE"/>
    <w:rsid w:val="009860ED"/>
    <w:rsid w:val="00986626"/>
    <w:rsid w:val="009871FD"/>
    <w:rsid w:val="009873D0"/>
    <w:rsid w:val="00987822"/>
    <w:rsid w:val="00987C2A"/>
    <w:rsid w:val="0099058A"/>
    <w:rsid w:val="00991A0A"/>
    <w:rsid w:val="00992286"/>
    <w:rsid w:val="009926C9"/>
    <w:rsid w:val="009935B6"/>
    <w:rsid w:val="009935BF"/>
    <w:rsid w:val="0099385B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F6E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53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260"/>
    <w:rsid w:val="009C38AD"/>
    <w:rsid w:val="009C39DA"/>
    <w:rsid w:val="009C4992"/>
    <w:rsid w:val="009C4B47"/>
    <w:rsid w:val="009C638B"/>
    <w:rsid w:val="009C63CB"/>
    <w:rsid w:val="009C6415"/>
    <w:rsid w:val="009C6F7A"/>
    <w:rsid w:val="009C70A7"/>
    <w:rsid w:val="009C72BA"/>
    <w:rsid w:val="009C72EB"/>
    <w:rsid w:val="009C74A0"/>
    <w:rsid w:val="009C7BD5"/>
    <w:rsid w:val="009C7E59"/>
    <w:rsid w:val="009D1438"/>
    <w:rsid w:val="009D1B43"/>
    <w:rsid w:val="009D2B86"/>
    <w:rsid w:val="009D3108"/>
    <w:rsid w:val="009D3173"/>
    <w:rsid w:val="009D3F8E"/>
    <w:rsid w:val="009D3FF4"/>
    <w:rsid w:val="009D430A"/>
    <w:rsid w:val="009D463E"/>
    <w:rsid w:val="009D6002"/>
    <w:rsid w:val="009D6015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AAE"/>
    <w:rsid w:val="009F33CA"/>
    <w:rsid w:val="009F39EC"/>
    <w:rsid w:val="009F3C50"/>
    <w:rsid w:val="009F3C98"/>
    <w:rsid w:val="009F44AF"/>
    <w:rsid w:val="009F4B25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927"/>
    <w:rsid w:val="009F7AB1"/>
    <w:rsid w:val="00A00227"/>
    <w:rsid w:val="00A00D63"/>
    <w:rsid w:val="00A017D6"/>
    <w:rsid w:val="00A01A63"/>
    <w:rsid w:val="00A02719"/>
    <w:rsid w:val="00A02A9C"/>
    <w:rsid w:val="00A0305F"/>
    <w:rsid w:val="00A03851"/>
    <w:rsid w:val="00A03A9F"/>
    <w:rsid w:val="00A04962"/>
    <w:rsid w:val="00A04AB6"/>
    <w:rsid w:val="00A04D38"/>
    <w:rsid w:val="00A04E68"/>
    <w:rsid w:val="00A050F6"/>
    <w:rsid w:val="00A05748"/>
    <w:rsid w:val="00A05F45"/>
    <w:rsid w:val="00A101C8"/>
    <w:rsid w:val="00A10B05"/>
    <w:rsid w:val="00A10C70"/>
    <w:rsid w:val="00A10DC0"/>
    <w:rsid w:val="00A111E8"/>
    <w:rsid w:val="00A1125C"/>
    <w:rsid w:val="00A11A2A"/>
    <w:rsid w:val="00A11A63"/>
    <w:rsid w:val="00A122B9"/>
    <w:rsid w:val="00A12526"/>
    <w:rsid w:val="00A12E51"/>
    <w:rsid w:val="00A13094"/>
    <w:rsid w:val="00A130AA"/>
    <w:rsid w:val="00A13F4A"/>
    <w:rsid w:val="00A14137"/>
    <w:rsid w:val="00A14711"/>
    <w:rsid w:val="00A14771"/>
    <w:rsid w:val="00A147CE"/>
    <w:rsid w:val="00A1559F"/>
    <w:rsid w:val="00A157EB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A78"/>
    <w:rsid w:val="00A22FFA"/>
    <w:rsid w:val="00A23593"/>
    <w:rsid w:val="00A23B75"/>
    <w:rsid w:val="00A24752"/>
    <w:rsid w:val="00A2498E"/>
    <w:rsid w:val="00A25BD0"/>
    <w:rsid w:val="00A25C90"/>
    <w:rsid w:val="00A265DC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9C8"/>
    <w:rsid w:val="00A50D31"/>
    <w:rsid w:val="00A517D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DD5"/>
    <w:rsid w:val="00A57E82"/>
    <w:rsid w:val="00A60946"/>
    <w:rsid w:val="00A60CDA"/>
    <w:rsid w:val="00A61095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6ED"/>
    <w:rsid w:val="00A6686C"/>
    <w:rsid w:val="00A6686E"/>
    <w:rsid w:val="00A66AB7"/>
    <w:rsid w:val="00A66CBC"/>
    <w:rsid w:val="00A66E3F"/>
    <w:rsid w:val="00A66F85"/>
    <w:rsid w:val="00A6702E"/>
    <w:rsid w:val="00A70D7E"/>
    <w:rsid w:val="00A70F27"/>
    <w:rsid w:val="00A71251"/>
    <w:rsid w:val="00A71336"/>
    <w:rsid w:val="00A71820"/>
    <w:rsid w:val="00A71A48"/>
    <w:rsid w:val="00A72BC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FC"/>
    <w:rsid w:val="00A93067"/>
    <w:rsid w:val="00A93838"/>
    <w:rsid w:val="00A94A37"/>
    <w:rsid w:val="00A94A62"/>
    <w:rsid w:val="00A955EA"/>
    <w:rsid w:val="00A95C6A"/>
    <w:rsid w:val="00A9613F"/>
    <w:rsid w:val="00A9644E"/>
    <w:rsid w:val="00A975D7"/>
    <w:rsid w:val="00A97AF3"/>
    <w:rsid w:val="00A97C5A"/>
    <w:rsid w:val="00AA17B4"/>
    <w:rsid w:val="00AA1EDB"/>
    <w:rsid w:val="00AA2F94"/>
    <w:rsid w:val="00AA31E9"/>
    <w:rsid w:val="00AA3FF3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D5C"/>
    <w:rsid w:val="00AB0E42"/>
    <w:rsid w:val="00AB0F4F"/>
    <w:rsid w:val="00AB1F71"/>
    <w:rsid w:val="00AB265F"/>
    <w:rsid w:val="00AB2812"/>
    <w:rsid w:val="00AB30E1"/>
    <w:rsid w:val="00AB3A74"/>
    <w:rsid w:val="00AB3EBD"/>
    <w:rsid w:val="00AB489B"/>
    <w:rsid w:val="00AB5055"/>
    <w:rsid w:val="00AB505C"/>
    <w:rsid w:val="00AB51B5"/>
    <w:rsid w:val="00AB594D"/>
    <w:rsid w:val="00AB6039"/>
    <w:rsid w:val="00AB6154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550D"/>
    <w:rsid w:val="00AC69E2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CC9"/>
    <w:rsid w:val="00AD7F01"/>
    <w:rsid w:val="00AD7F73"/>
    <w:rsid w:val="00AE0298"/>
    <w:rsid w:val="00AE03C3"/>
    <w:rsid w:val="00AE0600"/>
    <w:rsid w:val="00AE08C1"/>
    <w:rsid w:val="00AE0D5C"/>
    <w:rsid w:val="00AE137D"/>
    <w:rsid w:val="00AE17E7"/>
    <w:rsid w:val="00AE189D"/>
    <w:rsid w:val="00AE1D86"/>
    <w:rsid w:val="00AE2AB2"/>
    <w:rsid w:val="00AE2DA1"/>
    <w:rsid w:val="00AE3D32"/>
    <w:rsid w:val="00AE3E59"/>
    <w:rsid w:val="00AE46B1"/>
    <w:rsid w:val="00AE4AEC"/>
    <w:rsid w:val="00AE55A4"/>
    <w:rsid w:val="00AE618C"/>
    <w:rsid w:val="00AE6868"/>
    <w:rsid w:val="00AE6943"/>
    <w:rsid w:val="00AF1832"/>
    <w:rsid w:val="00AF2595"/>
    <w:rsid w:val="00AF298F"/>
    <w:rsid w:val="00AF2B1B"/>
    <w:rsid w:val="00AF320A"/>
    <w:rsid w:val="00AF35C0"/>
    <w:rsid w:val="00AF3B78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B00124"/>
    <w:rsid w:val="00B00453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855"/>
    <w:rsid w:val="00B04DB6"/>
    <w:rsid w:val="00B05532"/>
    <w:rsid w:val="00B05753"/>
    <w:rsid w:val="00B061C9"/>
    <w:rsid w:val="00B066A6"/>
    <w:rsid w:val="00B06C48"/>
    <w:rsid w:val="00B075D0"/>
    <w:rsid w:val="00B07605"/>
    <w:rsid w:val="00B0796A"/>
    <w:rsid w:val="00B07BA0"/>
    <w:rsid w:val="00B07C60"/>
    <w:rsid w:val="00B07C9C"/>
    <w:rsid w:val="00B106EE"/>
    <w:rsid w:val="00B1104F"/>
    <w:rsid w:val="00B11170"/>
    <w:rsid w:val="00B111B1"/>
    <w:rsid w:val="00B11C16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BFB"/>
    <w:rsid w:val="00B176B7"/>
    <w:rsid w:val="00B20107"/>
    <w:rsid w:val="00B20465"/>
    <w:rsid w:val="00B20973"/>
    <w:rsid w:val="00B20B45"/>
    <w:rsid w:val="00B2101D"/>
    <w:rsid w:val="00B21215"/>
    <w:rsid w:val="00B21A37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D7F"/>
    <w:rsid w:val="00B40030"/>
    <w:rsid w:val="00B404B5"/>
    <w:rsid w:val="00B40512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B10"/>
    <w:rsid w:val="00B56C7C"/>
    <w:rsid w:val="00B56D95"/>
    <w:rsid w:val="00B573B7"/>
    <w:rsid w:val="00B6065F"/>
    <w:rsid w:val="00B609A8"/>
    <w:rsid w:val="00B60B6B"/>
    <w:rsid w:val="00B62028"/>
    <w:rsid w:val="00B62079"/>
    <w:rsid w:val="00B624D9"/>
    <w:rsid w:val="00B624E9"/>
    <w:rsid w:val="00B633E4"/>
    <w:rsid w:val="00B63655"/>
    <w:rsid w:val="00B63A43"/>
    <w:rsid w:val="00B64827"/>
    <w:rsid w:val="00B648D0"/>
    <w:rsid w:val="00B64B9D"/>
    <w:rsid w:val="00B64C9E"/>
    <w:rsid w:val="00B64F65"/>
    <w:rsid w:val="00B65A40"/>
    <w:rsid w:val="00B65E4F"/>
    <w:rsid w:val="00B65FE4"/>
    <w:rsid w:val="00B6645E"/>
    <w:rsid w:val="00B6650A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1FE9"/>
    <w:rsid w:val="00B821C4"/>
    <w:rsid w:val="00B823C7"/>
    <w:rsid w:val="00B82604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43A"/>
    <w:rsid w:val="00B94609"/>
    <w:rsid w:val="00B9471A"/>
    <w:rsid w:val="00B947C9"/>
    <w:rsid w:val="00B949C2"/>
    <w:rsid w:val="00B9551F"/>
    <w:rsid w:val="00B95BA9"/>
    <w:rsid w:val="00B96708"/>
    <w:rsid w:val="00B967DB"/>
    <w:rsid w:val="00B96FB8"/>
    <w:rsid w:val="00B9765F"/>
    <w:rsid w:val="00BA0248"/>
    <w:rsid w:val="00BA02EB"/>
    <w:rsid w:val="00BA05D4"/>
    <w:rsid w:val="00BA1455"/>
    <w:rsid w:val="00BA16B7"/>
    <w:rsid w:val="00BA16C8"/>
    <w:rsid w:val="00BA3082"/>
    <w:rsid w:val="00BA352D"/>
    <w:rsid w:val="00BA429A"/>
    <w:rsid w:val="00BA4B43"/>
    <w:rsid w:val="00BA4D39"/>
    <w:rsid w:val="00BA4E18"/>
    <w:rsid w:val="00BA4EDB"/>
    <w:rsid w:val="00BA5F80"/>
    <w:rsid w:val="00BA64CB"/>
    <w:rsid w:val="00BA67BB"/>
    <w:rsid w:val="00BA6B5A"/>
    <w:rsid w:val="00BA7027"/>
    <w:rsid w:val="00BA71D8"/>
    <w:rsid w:val="00BB010D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2EDF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3F20"/>
    <w:rsid w:val="00BE4362"/>
    <w:rsid w:val="00BE4CB8"/>
    <w:rsid w:val="00BE4D83"/>
    <w:rsid w:val="00BE4D91"/>
    <w:rsid w:val="00BE4F37"/>
    <w:rsid w:val="00BE541A"/>
    <w:rsid w:val="00BE5449"/>
    <w:rsid w:val="00BE60E8"/>
    <w:rsid w:val="00BE63A7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2BE5"/>
    <w:rsid w:val="00BF319E"/>
    <w:rsid w:val="00BF332E"/>
    <w:rsid w:val="00BF388E"/>
    <w:rsid w:val="00BF3C76"/>
    <w:rsid w:val="00BF3F4C"/>
    <w:rsid w:val="00BF51AC"/>
    <w:rsid w:val="00BF51CC"/>
    <w:rsid w:val="00BF53D6"/>
    <w:rsid w:val="00BF5774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C76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C03"/>
    <w:rsid w:val="00C11CC7"/>
    <w:rsid w:val="00C1246C"/>
    <w:rsid w:val="00C125F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CE8"/>
    <w:rsid w:val="00C212D6"/>
    <w:rsid w:val="00C21B42"/>
    <w:rsid w:val="00C21DC3"/>
    <w:rsid w:val="00C228A5"/>
    <w:rsid w:val="00C23827"/>
    <w:rsid w:val="00C23ADE"/>
    <w:rsid w:val="00C23BD5"/>
    <w:rsid w:val="00C24112"/>
    <w:rsid w:val="00C2454B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CC2"/>
    <w:rsid w:val="00C4603F"/>
    <w:rsid w:val="00C467E6"/>
    <w:rsid w:val="00C46C02"/>
    <w:rsid w:val="00C471F1"/>
    <w:rsid w:val="00C4734E"/>
    <w:rsid w:val="00C5014A"/>
    <w:rsid w:val="00C503AB"/>
    <w:rsid w:val="00C50636"/>
    <w:rsid w:val="00C51C9B"/>
    <w:rsid w:val="00C52376"/>
    <w:rsid w:val="00C528EF"/>
    <w:rsid w:val="00C52E2F"/>
    <w:rsid w:val="00C530F1"/>
    <w:rsid w:val="00C5372A"/>
    <w:rsid w:val="00C537EB"/>
    <w:rsid w:val="00C53921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067"/>
    <w:rsid w:val="00C70494"/>
    <w:rsid w:val="00C718EF"/>
    <w:rsid w:val="00C72289"/>
    <w:rsid w:val="00C72305"/>
    <w:rsid w:val="00C73422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D5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86B"/>
    <w:rsid w:val="00CA4BDB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7B0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4DC"/>
    <w:rsid w:val="00CC462D"/>
    <w:rsid w:val="00CC4686"/>
    <w:rsid w:val="00CC5428"/>
    <w:rsid w:val="00CC544B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E80"/>
    <w:rsid w:val="00CD1F44"/>
    <w:rsid w:val="00CD284E"/>
    <w:rsid w:val="00CD2BA5"/>
    <w:rsid w:val="00CD2C8E"/>
    <w:rsid w:val="00CD39DF"/>
    <w:rsid w:val="00CD46D7"/>
    <w:rsid w:val="00CD46FE"/>
    <w:rsid w:val="00CD47F1"/>
    <w:rsid w:val="00CD4D11"/>
    <w:rsid w:val="00CD4DFE"/>
    <w:rsid w:val="00CD5DF1"/>
    <w:rsid w:val="00CD650E"/>
    <w:rsid w:val="00CD6779"/>
    <w:rsid w:val="00CD6CE5"/>
    <w:rsid w:val="00CD740C"/>
    <w:rsid w:val="00CE024C"/>
    <w:rsid w:val="00CE035E"/>
    <w:rsid w:val="00CE0639"/>
    <w:rsid w:val="00CE083C"/>
    <w:rsid w:val="00CE1005"/>
    <w:rsid w:val="00CE11BD"/>
    <w:rsid w:val="00CE11D7"/>
    <w:rsid w:val="00CE130F"/>
    <w:rsid w:val="00CE1A43"/>
    <w:rsid w:val="00CE1C52"/>
    <w:rsid w:val="00CE265D"/>
    <w:rsid w:val="00CE277F"/>
    <w:rsid w:val="00CE2882"/>
    <w:rsid w:val="00CE2AB7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E9B"/>
    <w:rsid w:val="00CE60B5"/>
    <w:rsid w:val="00CE7DB0"/>
    <w:rsid w:val="00CF0080"/>
    <w:rsid w:val="00CF0126"/>
    <w:rsid w:val="00CF03EB"/>
    <w:rsid w:val="00CF06E5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B10"/>
    <w:rsid w:val="00D00F17"/>
    <w:rsid w:val="00D018D2"/>
    <w:rsid w:val="00D019B1"/>
    <w:rsid w:val="00D01FB0"/>
    <w:rsid w:val="00D023B3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4271"/>
    <w:rsid w:val="00D04DEB"/>
    <w:rsid w:val="00D05A55"/>
    <w:rsid w:val="00D06DD6"/>
    <w:rsid w:val="00D06F59"/>
    <w:rsid w:val="00D071A3"/>
    <w:rsid w:val="00D07358"/>
    <w:rsid w:val="00D100E8"/>
    <w:rsid w:val="00D10442"/>
    <w:rsid w:val="00D1078E"/>
    <w:rsid w:val="00D10BC8"/>
    <w:rsid w:val="00D10DDC"/>
    <w:rsid w:val="00D10F1C"/>
    <w:rsid w:val="00D1177B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E15"/>
    <w:rsid w:val="00D1580C"/>
    <w:rsid w:val="00D15A40"/>
    <w:rsid w:val="00D161BF"/>
    <w:rsid w:val="00D169A9"/>
    <w:rsid w:val="00D173F8"/>
    <w:rsid w:val="00D1762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55B"/>
    <w:rsid w:val="00D27751"/>
    <w:rsid w:val="00D278D4"/>
    <w:rsid w:val="00D30453"/>
    <w:rsid w:val="00D3095E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3F3C"/>
    <w:rsid w:val="00D44216"/>
    <w:rsid w:val="00D44AC6"/>
    <w:rsid w:val="00D4519E"/>
    <w:rsid w:val="00D451B7"/>
    <w:rsid w:val="00D4527C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EC1"/>
    <w:rsid w:val="00D50003"/>
    <w:rsid w:val="00D500A1"/>
    <w:rsid w:val="00D509A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3A8A"/>
    <w:rsid w:val="00D566A7"/>
    <w:rsid w:val="00D574A8"/>
    <w:rsid w:val="00D57EDE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3CD4"/>
    <w:rsid w:val="00D63ED8"/>
    <w:rsid w:val="00D6421F"/>
    <w:rsid w:val="00D64223"/>
    <w:rsid w:val="00D64A56"/>
    <w:rsid w:val="00D6500C"/>
    <w:rsid w:val="00D65AAC"/>
    <w:rsid w:val="00D67242"/>
    <w:rsid w:val="00D67480"/>
    <w:rsid w:val="00D67946"/>
    <w:rsid w:val="00D67FEC"/>
    <w:rsid w:val="00D71791"/>
    <w:rsid w:val="00D71CAC"/>
    <w:rsid w:val="00D71E8A"/>
    <w:rsid w:val="00D722E8"/>
    <w:rsid w:val="00D723DB"/>
    <w:rsid w:val="00D724CA"/>
    <w:rsid w:val="00D72C55"/>
    <w:rsid w:val="00D75457"/>
    <w:rsid w:val="00D754D6"/>
    <w:rsid w:val="00D75915"/>
    <w:rsid w:val="00D75A50"/>
    <w:rsid w:val="00D75A6B"/>
    <w:rsid w:val="00D75AB7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7E"/>
    <w:rsid w:val="00D9015C"/>
    <w:rsid w:val="00D912D3"/>
    <w:rsid w:val="00D9142F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B4"/>
    <w:rsid w:val="00D966E6"/>
    <w:rsid w:val="00D96745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3E81"/>
    <w:rsid w:val="00DA4268"/>
    <w:rsid w:val="00DA48D0"/>
    <w:rsid w:val="00DA497D"/>
    <w:rsid w:val="00DA5026"/>
    <w:rsid w:val="00DA5BA0"/>
    <w:rsid w:val="00DA5EF5"/>
    <w:rsid w:val="00DA5F30"/>
    <w:rsid w:val="00DA7574"/>
    <w:rsid w:val="00DB04EF"/>
    <w:rsid w:val="00DB074A"/>
    <w:rsid w:val="00DB0755"/>
    <w:rsid w:val="00DB0F7C"/>
    <w:rsid w:val="00DB11D1"/>
    <w:rsid w:val="00DB1459"/>
    <w:rsid w:val="00DB1F38"/>
    <w:rsid w:val="00DB203E"/>
    <w:rsid w:val="00DB250B"/>
    <w:rsid w:val="00DB297B"/>
    <w:rsid w:val="00DB2EC3"/>
    <w:rsid w:val="00DB323F"/>
    <w:rsid w:val="00DB3454"/>
    <w:rsid w:val="00DB3786"/>
    <w:rsid w:val="00DB4E21"/>
    <w:rsid w:val="00DB50B1"/>
    <w:rsid w:val="00DB5670"/>
    <w:rsid w:val="00DB5FA4"/>
    <w:rsid w:val="00DB60D1"/>
    <w:rsid w:val="00DB6248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AAC"/>
    <w:rsid w:val="00DC6C8E"/>
    <w:rsid w:val="00DC6F00"/>
    <w:rsid w:val="00DC7572"/>
    <w:rsid w:val="00DC7670"/>
    <w:rsid w:val="00DC7DAC"/>
    <w:rsid w:val="00DD18EB"/>
    <w:rsid w:val="00DD1F37"/>
    <w:rsid w:val="00DD225B"/>
    <w:rsid w:val="00DD22B3"/>
    <w:rsid w:val="00DD24E0"/>
    <w:rsid w:val="00DD2B07"/>
    <w:rsid w:val="00DD3460"/>
    <w:rsid w:val="00DD3505"/>
    <w:rsid w:val="00DD3900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080"/>
    <w:rsid w:val="00DE0334"/>
    <w:rsid w:val="00DE0AB2"/>
    <w:rsid w:val="00DE0F56"/>
    <w:rsid w:val="00DE126E"/>
    <w:rsid w:val="00DE1618"/>
    <w:rsid w:val="00DE2140"/>
    <w:rsid w:val="00DE2357"/>
    <w:rsid w:val="00DE272E"/>
    <w:rsid w:val="00DE2967"/>
    <w:rsid w:val="00DE2A0F"/>
    <w:rsid w:val="00DE2D68"/>
    <w:rsid w:val="00DE32CB"/>
    <w:rsid w:val="00DE33D3"/>
    <w:rsid w:val="00DE45AB"/>
    <w:rsid w:val="00DE4761"/>
    <w:rsid w:val="00DE581A"/>
    <w:rsid w:val="00DE5B6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EE1"/>
    <w:rsid w:val="00DF708E"/>
    <w:rsid w:val="00DF7098"/>
    <w:rsid w:val="00DF79D9"/>
    <w:rsid w:val="00DF7FC8"/>
    <w:rsid w:val="00E00518"/>
    <w:rsid w:val="00E00DB7"/>
    <w:rsid w:val="00E01A48"/>
    <w:rsid w:val="00E01A7B"/>
    <w:rsid w:val="00E02558"/>
    <w:rsid w:val="00E028D6"/>
    <w:rsid w:val="00E029F3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90D"/>
    <w:rsid w:val="00E12B15"/>
    <w:rsid w:val="00E12C48"/>
    <w:rsid w:val="00E12DF9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52B9"/>
    <w:rsid w:val="00E15983"/>
    <w:rsid w:val="00E15C33"/>
    <w:rsid w:val="00E15C82"/>
    <w:rsid w:val="00E16C23"/>
    <w:rsid w:val="00E17152"/>
    <w:rsid w:val="00E174AB"/>
    <w:rsid w:val="00E1761D"/>
    <w:rsid w:val="00E179A4"/>
    <w:rsid w:val="00E179E2"/>
    <w:rsid w:val="00E17F66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966"/>
    <w:rsid w:val="00E25CB2"/>
    <w:rsid w:val="00E262FF"/>
    <w:rsid w:val="00E266A5"/>
    <w:rsid w:val="00E26A43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2D4"/>
    <w:rsid w:val="00E3495E"/>
    <w:rsid w:val="00E34AEA"/>
    <w:rsid w:val="00E351D6"/>
    <w:rsid w:val="00E35761"/>
    <w:rsid w:val="00E365D7"/>
    <w:rsid w:val="00E36C16"/>
    <w:rsid w:val="00E376C7"/>
    <w:rsid w:val="00E37A7A"/>
    <w:rsid w:val="00E40C6E"/>
    <w:rsid w:val="00E40D81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6B12"/>
    <w:rsid w:val="00E5755F"/>
    <w:rsid w:val="00E60014"/>
    <w:rsid w:val="00E604F3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901"/>
    <w:rsid w:val="00E73AE9"/>
    <w:rsid w:val="00E74FD9"/>
    <w:rsid w:val="00E752B3"/>
    <w:rsid w:val="00E754EE"/>
    <w:rsid w:val="00E7571C"/>
    <w:rsid w:val="00E76574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26"/>
    <w:rsid w:val="00EA295B"/>
    <w:rsid w:val="00EA2966"/>
    <w:rsid w:val="00EA30D5"/>
    <w:rsid w:val="00EA30EB"/>
    <w:rsid w:val="00EA3415"/>
    <w:rsid w:val="00EA4FAE"/>
    <w:rsid w:val="00EA5376"/>
    <w:rsid w:val="00EA55B9"/>
    <w:rsid w:val="00EA56BE"/>
    <w:rsid w:val="00EA57BB"/>
    <w:rsid w:val="00EA5D7E"/>
    <w:rsid w:val="00EA608D"/>
    <w:rsid w:val="00EA6840"/>
    <w:rsid w:val="00EA6ADF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08C4"/>
    <w:rsid w:val="00ED139C"/>
    <w:rsid w:val="00ED1EF0"/>
    <w:rsid w:val="00ED229C"/>
    <w:rsid w:val="00ED2A18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FA3"/>
    <w:rsid w:val="00EE14B9"/>
    <w:rsid w:val="00EE176F"/>
    <w:rsid w:val="00EE1C95"/>
    <w:rsid w:val="00EE1D04"/>
    <w:rsid w:val="00EE1FCC"/>
    <w:rsid w:val="00EE200B"/>
    <w:rsid w:val="00EE2431"/>
    <w:rsid w:val="00EE2BB3"/>
    <w:rsid w:val="00EE33E0"/>
    <w:rsid w:val="00EE3406"/>
    <w:rsid w:val="00EE3A21"/>
    <w:rsid w:val="00EE43E9"/>
    <w:rsid w:val="00EE5F9D"/>
    <w:rsid w:val="00EE629D"/>
    <w:rsid w:val="00EE6644"/>
    <w:rsid w:val="00EE699A"/>
    <w:rsid w:val="00EE6B24"/>
    <w:rsid w:val="00EE6D9C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6417"/>
    <w:rsid w:val="00EF6FE8"/>
    <w:rsid w:val="00EF78EC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6A"/>
    <w:rsid w:val="00F121BB"/>
    <w:rsid w:val="00F12649"/>
    <w:rsid w:val="00F12700"/>
    <w:rsid w:val="00F129D8"/>
    <w:rsid w:val="00F138BC"/>
    <w:rsid w:val="00F1459B"/>
    <w:rsid w:val="00F153FB"/>
    <w:rsid w:val="00F15407"/>
    <w:rsid w:val="00F15E80"/>
    <w:rsid w:val="00F15F52"/>
    <w:rsid w:val="00F169D3"/>
    <w:rsid w:val="00F16AC5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640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B90"/>
    <w:rsid w:val="00F41BFD"/>
    <w:rsid w:val="00F424A3"/>
    <w:rsid w:val="00F4302E"/>
    <w:rsid w:val="00F4305D"/>
    <w:rsid w:val="00F43ED4"/>
    <w:rsid w:val="00F4406C"/>
    <w:rsid w:val="00F44490"/>
    <w:rsid w:val="00F456F6"/>
    <w:rsid w:val="00F45C38"/>
    <w:rsid w:val="00F45D50"/>
    <w:rsid w:val="00F45F05"/>
    <w:rsid w:val="00F4670A"/>
    <w:rsid w:val="00F47437"/>
    <w:rsid w:val="00F47A71"/>
    <w:rsid w:val="00F505F3"/>
    <w:rsid w:val="00F50636"/>
    <w:rsid w:val="00F51A35"/>
    <w:rsid w:val="00F51C46"/>
    <w:rsid w:val="00F529B2"/>
    <w:rsid w:val="00F52A95"/>
    <w:rsid w:val="00F52B2A"/>
    <w:rsid w:val="00F52B2D"/>
    <w:rsid w:val="00F52CD0"/>
    <w:rsid w:val="00F53080"/>
    <w:rsid w:val="00F53D01"/>
    <w:rsid w:val="00F54959"/>
    <w:rsid w:val="00F549D8"/>
    <w:rsid w:val="00F54B16"/>
    <w:rsid w:val="00F5603B"/>
    <w:rsid w:val="00F5614D"/>
    <w:rsid w:val="00F56158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6B5"/>
    <w:rsid w:val="00F67852"/>
    <w:rsid w:val="00F67E88"/>
    <w:rsid w:val="00F70171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E1"/>
    <w:rsid w:val="00F915B3"/>
    <w:rsid w:val="00F92159"/>
    <w:rsid w:val="00F922DD"/>
    <w:rsid w:val="00F9273E"/>
    <w:rsid w:val="00F92B0C"/>
    <w:rsid w:val="00F933AE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194"/>
    <w:rsid w:val="00FA3D40"/>
    <w:rsid w:val="00FA3DC5"/>
    <w:rsid w:val="00FA41D4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291"/>
    <w:rsid w:val="00FB2C32"/>
    <w:rsid w:val="00FB5923"/>
    <w:rsid w:val="00FB5E63"/>
    <w:rsid w:val="00FB5F47"/>
    <w:rsid w:val="00FB6678"/>
    <w:rsid w:val="00FB6700"/>
    <w:rsid w:val="00FB71FA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293C"/>
    <w:rsid w:val="00FD2FE5"/>
    <w:rsid w:val="00FD36D4"/>
    <w:rsid w:val="00FD3CD1"/>
    <w:rsid w:val="00FD4A58"/>
    <w:rsid w:val="00FD4FFC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21E8"/>
    <w:rsid w:val="00FE2625"/>
    <w:rsid w:val="00FE28D2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10</Pages>
  <Words>2894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220</cp:revision>
  <dcterms:created xsi:type="dcterms:W3CDTF">2021-08-28T10:19:00Z</dcterms:created>
  <dcterms:modified xsi:type="dcterms:W3CDTF">2024-09-03T07:23:00Z</dcterms:modified>
</cp:coreProperties>
</file>